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2463C2">
      <w:pPr>
        <w:pStyle w:val="2"/>
        <w:numPr>
          <w:ilvl w:val="0"/>
          <w:numId w:val="2"/>
        </w:numPr>
        <w:tabs>
          <w:tab w:val="left" w:pos="5670"/>
          <w:tab w:val="clear" w:pos="432"/>
        </w:tabs>
        <w:spacing w:before="0" w:after="0" w:line="480" w:lineRule="auto"/>
        <w:jc w:val="center"/>
        <w:rPr>
          <w:rFonts w:ascii="Arial" w:hAnsi="Arial" w:eastAsia="黑体"/>
          <w:b w:val="0"/>
          <w:bCs w:val="0"/>
          <w:kern w:val="2"/>
          <w:sz w:val="36"/>
          <w:szCs w:val="36"/>
        </w:rPr>
      </w:pPr>
      <w:bookmarkStart w:id="0" w:name="_Toc29101"/>
      <w:bookmarkStart w:id="1" w:name="_Toc21368"/>
      <w:r>
        <w:rPr>
          <w:rFonts w:hint="eastAsia" w:ascii="Arial" w:hAnsi="Arial" w:eastAsia="黑体"/>
          <w:b w:val="0"/>
          <w:bCs w:val="0"/>
          <w:kern w:val="2"/>
          <w:sz w:val="36"/>
          <w:szCs w:val="36"/>
        </w:rPr>
        <w:t>指挥调度分系统操作说明</w:t>
      </w:r>
      <w:bookmarkEnd w:id="0"/>
      <w:bookmarkEnd w:id="1"/>
    </w:p>
    <w:p w14:paraId="7205E039">
      <w:pPr>
        <w:pStyle w:val="3"/>
        <w:spacing w:line="360" w:lineRule="auto"/>
        <w:rPr>
          <w:rFonts w:hint="eastAsia"/>
        </w:rPr>
      </w:pPr>
      <w:r>
        <w:rPr>
          <w:rFonts w:hint="eastAsia" w:ascii="宋体" w:hAnsi="宋体" w:cs="宋体"/>
          <w:sz w:val="24"/>
          <w:szCs w:val="24"/>
        </w:rPr>
        <w:t>指挥调度管理分系统是在深入整合并优化原有长江流域渔政执法信息化平台的基础上进行全面升级的一项重要举措。</w:t>
      </w:r>
      <w:r>
        <w:rPr>
          <w:rFonts w:hint="eastAsia" w:ascii="宋体" w:hAnsi="宋体" w:cs="宋体"/>
          <w:sz w:val="24"/>
          <w:szCs w:val="24"/>
          <w:lang w:val="en-US" w:eastAsia="zh-CN"/>
        </w:rPr>
        <w:t>该系统</w:t>
      </w:r>
      <w:r>
        <w:rPr>
          <w:rFonts w:hint="eastAsia" w:ascii="宋体" w:hAnsi="宋体" w:cs="宋体"/>
          <w:sz w:val="24"/>
          <w:szCs w:val="24"/>
        </w:rPr>
        <w:t>有助于长江办与全国范围内15个实施禁捕政策的省（直辖市）级渔政指挥中心、下辖市级及县级渔政指挥中心之间建立起一张紧密协作、高效联动的四级指挥网络。这一网络确保了从国家到地方各级渔政管理部门能够迅速响应、协同作战，有效应对长江流域内复杂的渔业管理和生态保护挑战。</w:t>
      </w:r>
    </w:p>
    <w:p w14:paraId="30595D7F">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2" w:name="_Toc114"/>
      <w:bookmarkStart w:id="3" w:name="_Toc6427"/>
      <w:r>
        <w:rPr>
          <w:rFonts w:hint="eastAsia" w:ascii="黑体" w:hAnsi="黑体" w:eastAsia="黑体"/>
          <w:b w:val="0"/>
          <w:bCs w:val="0"/>
          <w:sz w:val="32"/>
        </w:rPr>
        <w:t>监控设备管理</w:t>
      </w:r>
      <w:bookmarkEnd w:id="2"/>
      <w:bookmarkEnd w:id="3"/>
    </w:p>
    <w:p w14:paraId="0F3558EB">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4" w:name="_Toc2629"/>
      <w:bookmarkStart w:id="5" w:name="_Toc29732"/>
      <w:r>
        <w:rPr>
          <w:rFonts w:hint="eastAsia" w:ascii="黑体" w:hAnsi="黑体" w:eastAsia="黑体"/>
          <w:b w:val="0"/>
          <w:bCs w:val="0"/>
          <w:sz w:val="28"/>
          <w:szCs w:val="40"/>
        </w:rPr>
        <w:t>监控设备管理</w:t>
      </w:r>
      <w:bookmarkEnd w:id="4"/>
      <w:bookmarkEnd w:id="5"/>
      <w:bookmarkStart w:id="54" w:name="_GoBack"/>
      <w:bookmarkEnd w:id="54"/>
    </w:p>
    <w:p w14:paraId="014BF3B2">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实时监控功能模块再点击左侧菜单栏中监控设备管理-监控设备管理进入，可通过设备状态，如“正在作业”、“已离线”、“未使用”等查找相应设备。可查看设备名称、编号、类型、安装位置等信息。</w:t>
      </w:r>
    </w:p>
    <w:p w14:paraId="0B7661CF">
      <w:pPr>
        <w:pStyle w:val="7"/>
        <w:ind w:left="0" w:leftChars="0" w:firstLine="0" w:firstLineChars="0"/>
      </w:pPr>
      <w:r>
        <w:drawing>
          <wp:inline distT="0" distB="0" distL="0" distR="0">
            <wp:extent cx="5759450" cy="2690495"/>
            <wp:effectExtent l="0" t="0" r="127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759450" cy="2690495"/>
                    </a:xfrm>
                    <a:prstGeom prst="rect">
                      <a:avLst/>
                    </a:prstGeom>
                  </pic:spPr>
                </pic:pic>
              </a:graphicData>
            </a:graphic>
          </wp:inline>
        </w:drawing>
      </w:r>
    </w:p>
    <w:p w14:paraId="5765A793">
      <w:pPr>
        <w:pStyle w:val="9"/>
        <w:widowControl/>
        <w:numPr>
          <w:ilvl w:val="0"/>
          <w:numId w:val="3"/>
        </w:numPr>
        <w:spacing w:line="360" w:lineRule="auto"/>
        <w:jc w:val="center"/>
      </w:pPr>
      <w:r>
        <w:rPr>
          <w:rFonts w:hint="eastAsia" w:ascii="黑体" w:hAnsi="黑体" w:cs="黑体"/>
          <w:kern w:val="0"/>
        </w:rPr>
        <w:t>监控设备管理页面</w:t>
      </w:r>
    </w:p>
    <w:p w14:paraId="280B66C0">
      <w:pPr>
        <w:pStyle w:val="3"/>
        <w:numPr>
          <w:ilvl w:val="0"/>
          <w:numId w:val="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【新增】</w:t>
      </w:r>
    </w:p>
    <w:p w14:paraId="12E2A8D2">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点击“新增”按钮对监控设备信息进行新增，填写设备相关信息，完成新增设备操作</w:t>
      </w:r>
      <w:r>
        <w:rPr>
          <w:rFonts w:hint="eastAsia" w:ascii="宋体" w:hAnsi="宋体" w:cs="宋体"/>
          <w:sz w:val="24"/>
          <w:szCs w:val="24"/>
          <w:lang w:eastAsia="zh-CN"/>
        </w:rPr>
        <w:t>。</w:t>
      </w:r>
    </w:p>
    <w:p w14:paraId="0847CD2C">
      <w:pPr>
        <w:pStyle w:val="7"/>
        <w:ind w:left="0" w:leftChars="0" w:firstLine="0" w:firstLineChars="0"/>
      </w:pPr>
      <w:r>
        <w:drawing>
          <wp:inline distT="0" distB="0" distL="0" distR="0">
            <wp:extent cx="5759450" cy="2807335"/>
            <wp:effectExtent l="0" t="0" r="12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5759450" cy="2807335"/>
                    </a:xfrm>
                    <a:prstGeom prst="rect">
                      <a:avLst/>
                    </a:prstGeom>
                  </pic:spPr>
                </pic:pic>
              </a:graphicData>
            </a:graphic>
          </wp:inline>
        </w:drawing>
      </w:r>
    </w:p>
    <w:p w14:paraId="4C6AA02F">
      <w:pPr>
        <w:pStyle w:val="9"/>
        <w:widowControl/>
        <w:numPr>
          <w:ilvl w:val="0"/>
          <w:numId w:val="3"/>
        </w:numPr>
        <w:spacing w:line="360" w:lineRule="auto"/>
        <w:jc w:val="center"/>
      </w:pPr>
      <w:r>
        <w:rPr>
          <w:rFonts w:hint="eastAsia" w:ascii="黑体" w:hAnsi="黑体" w:cs="黑体"/>
          <w:kern w:val="0"/>
        </w:rPr>
        <w:t>监控设备管理页面</w:t>
      </w:r>
    </w:p>
    <w:p w14:paraId="4EBAA625">
      <w:pPr>
        <w:pStyle w:val="3"/>
        <w:numPr>
          <w:ilvl w:val="0"/>
          <w:numId w:val="4"/>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【通道】</w:t>
      </w:r>
    </w:p>
    <w:p w14:paraId="318D1BD4">
      <w:pPr>
        <w:pStyle w:val="7"/>
        <w:ind w:left="36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点击通道tab按钮，展示设备对应的通道，包括通道名称、通道能力等信息</w:t>
      </w:r>
      <w:r>
        <w:rPr>
          <w:rFonts w:hint="eastAsia" w:ascii="宋体" w:hAnsi="宋体" w:cs="宋体"/>
          <w:kern w:val="2"/>
          <w:sz w:val="24"/>
          <w:szCs w:val="24"/>
          <w:lang w:val="en-US" w:eastAsia="zh-CN" w:bidi="ar-SA"/>
        </w:rPr>
        <w:t>。</w:t>
      </w:r>
    </w:p>
    <w:p w14:paraId="4C3350C5">
      <w:pPr>
        <w:pStyle w:val="7"/>
        <w:ind w:left="0" w:leftChars="0" w:firstLine="0" w:firstLineChars="0"/>
      </w:pPr>
      <w:r>
        <w:drawing>
          <wp:inline distT="0" distB="0" distL="0" distR="0">
            <wp:extent cx="5759450" cy="2809240"/>
            <wp:effectExtent l="0" t="0" r="127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759450" cy="2809240"/>
                    </a:xfrm>
                    <a:prstGeom prst="rect">
                      <a:avLst/>
                    </a:prstGeom>
                  </pic:spPr>
                </pic:pic>
              </a:graphicData>
            </a:graphic>
          </wp:inline>
        </w:drawing>
      </w:r>
    </w:p>
    <w:p w14:paraId="4B5EEE76">
      <w:pPr>
        <w:pStyle w:val="9"/>
        <w:widowControl/>
        <w:numPr>
          <w:ilvl w:val="0"/>
          <w:numId w:val="3"/>
        </w:numPr>
        <w:spacing w:line="360" w:lineRule="auto"/>
        <w:jc w:val="center"/>
        <w:rPr>
          <w:rFonts w:hint="eastAsia"/>
        </w:rPr>
      </w:pPr>
      <w:r>
        <w:rPr>
          <w:rFonts w:hint="eastAsia" w:ascii="黑体" w:hAnsi="黑体" w:cs="黑体"/>
          <w:kern w:val="0"/>
        </w:rPr>
        <w:t>监控设备管理页面</w:t>
      </w:r>
    </w:p>
    <w:p w14:paraId="239444D0">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6" w:name="_Toc12342"/>
      <w:bookmarkStart w:id="7" w:name="_Toc28159"/>
      <w:r>
        <w:rPr>
          <w:rFonts w:hint="eastAsia" w:ascii="黑体" w:hAnsi="黑体" w:eastAsia="黑体"/>
          <w:b w:val="0"/>
          <w:bCs w:val="0"/>
          <w:sz w:val="28"/>
          <w:szCs w:val="40"/>
        </w:rPr>
        <w:t>设备权限管理</w:t>
      </w:r>
      <w:bookmarkEnd w:id="6"/>
      <w:bookmarkEnd w:id="7"/>
    </w:p>
    <w:p w14:paraId="4737F4CE">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首先在顶部选择实时监控功能模块再点击左侧菜单栏中监控设备管理-设备权限管理进入，对设备进行权限划分，只有具备相关权限的用户才能查看。</w:t>
      </w:r>
    </w:p>
    <w:p w14:paraId="56F75F34">
      <w:pPr>
        <w:pStyle w:val="3"/>
        <w:ind w:firstLine="0" w:firstLineChars="0"/>
      </w:pPr>
      <w:r>
        <w:drawing>
          <wp:inline distT="0" distB="0" distL="0" distR="0">
            <wp:extent cx="5759450" cy="2690495"/>
            <wp:effectExtent l="0" t="0" r="127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759450" cy="2690495"/>
                    </a:xfrm>
                    <a:prstGeom prst="rect">
                      <a:avLst/>
                    </a:prstGeom>
                  </pic:spPr>
                </pic:pic>
              </a:graphicData>
            </a:graphic>
          </wp:inline>
        </w:drawing>
      </w:r>
    </w:p>
    <w:p w14:paraId="39809CD3">
      <w:pPr>
        <w:pStyle w:val="9"/>
        <w:widowControl/>
        <w:numPr>
          <w:ilvl w:val="0"/>
          <w:numId w:val="3"/>
        </w:numPr>
        <w:spacing w:line="360" w:lineRule="auto"/>
        <w:jc w:val="center"/>
      </w:pPr>
      <w:r>
        <w:rPr>
          <w:rFonts w:hint="eastAsia" w:ascii="黑体" w:hAnsi="黑体" w:cs="黑体"/>
          <w:kern w:val="0"/>
        </w:rPr>
        <w:t>监控设备管理页面</w:t>
      </w:r>
    </w:p>
    <w:p w14:paraId="02E1E923">
      <w:pPr>
        <w:pStyle w:val="3"/>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【新增】</w:t>
      </w:r>
    </w:p>
    <w:p w14:paraId="66E73C28">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点击“新增”按钮对角色权限进行新增，支持管理菜单页面访问权限，系统操作权限等</w:t>
      </w:r>
      <w:r>
        <w:rPr>
          <w:rFonts w:hint="eastAsia" w:ascii="宋体" w:hAnsi="宋体" w:cs="宋体"/>
          <w:sz w:val="24"/>
          <w:szCs w:val="24"/>
          <w:lang w:eastAsia="zh-CN"/>
        </w:rPr>
        <w:t>。</w:t>
      </w:r>
    </w:p>
    <w:p w14:paraId="60A0CBB0">
      <w:pPr>
        <w:pStyle w:val="3"/>
        <w:ind w:firstLine="0" w:firstLineChars="0"/>
      </w:pPr>
      <w:r>
        <w:drawing>
          <wp:inline distT="0" distB="0" distL="0" distR="0">
            <wp:extent cx="5759450" cy="2810510"/>
            <wp:effectExtent l="0" t="0" r="1270" b="889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8"/>
                    <a:stretch>
                      <a:fillRect/>
                    </a:stretch>
                  </pic:blipFill>
                  <pic:spPr>
                    <a:xfrm>
                      <a:off x="0" y="0"/>
                      <a:ext cx="5759450" cy="2810510"/>
                    </a:xfrm>
                    <a:prstGeom prst="rect">
                      <a:avLst/>
                    </a:prstGeom>
                  </pic:spPr>
                </pic:pic>
              </a:graphicData>
            </a:graphic>
          </wp:inline>
        </w:drawing>
      </w:r>
    </w:p>
    <w:p w14:paraId="6C5FE7C1">
      <w:pPr>
        <w:pStyle w:val="9"/>
        <w:widowControl/>
        <w:numPr>
          <w:ilvl w:val="0"/>
          <w:numId w:val="3"/>
        </w:numPr>
        <w:spacing w:line="360" w:lineRule="auto"/>
        <w:jc w:val="center"/>
      </w:pPr>
      <w:r>
        <w:rPr>
          <w:rFonts w:hint="eastAsia" w:ascii="黑体" w:hAnsi="黑体" w:cs="黑体"/>
          <w:kern w:val="0"/>
        </w:rPr>
        <w:t>监控设备管理页面</w:t>
      </w:r>
    </w:p>
    <w:p w14:paraId="51965B6B">
      <w:pPr>
        <w:pStyle w:val="3"/>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【查看】</w:t>
      </w:r>
    </w:p>
    <w:p w14:paraId="287D37B6">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点击“查看”按钮对角色权限进行查看，支持查看菜单页面访问权限，系统操作权限等</w:t>
      </w:r>
      <w:r>
        <w:rPr>
          <w:rFonts w:hint="eastAsia" w:ascii="宋体" w:hAnsi="宋体" w:cs="宋体"/>
          <w:sz w:val="24"/>
          <w:szCs w:val="24"/>
          <w:lang w:eastAsia="zh-CN"/>
        </w:rPr>
        <w:t>。</w:t>
      </w:r>
    </w:p>
    <w:p w14:paraId="587E3714">
      <w:pPr>
        <w:pStyle w:val="3"/>
        <w:ind w:firstLine="0" w:firstLineChars="0"/>
      </w:pPr>
      <w:r>
        <w:drawing>
          <wp:inline distT="0" distB="0" distL="0" distR="0">
            <wp:extent cx="5759450" cy="2802890"/>
            <wp:effectExtent l="0" t="0" r="1270" b="127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9"/>
                    <a:stretch>
                      <a:fillRect/>
                    </a:stretch>
                  </pic:blipFill>
                  <pic:spPr>
                    <a:xfrm>
                      <a:off x="0" y="0"/>
                      <a:ext cx="5759450" cy="2802890"/>
                    </a:xfrm>
                    <a:prstGeom prst="rect">
                      <a:avLst/>
                    </a:prstGeom>
                  </pic:spPr>
                </pic:pic>
              </a:graphicData>
            </a:graphic>
          </wp:inline>
        </w:drawing>
      </w:r>
    </w:p>
    <w:p w14:paraId="404AB053">
      <w:pPr>
        <w:pStyle w:val="9"/>
        <w:widowControl/>
        <w:numPr>
          <w:ilvl w:val="0"/>
          <w:numId w:val="3"/>
        </w:numPr>
        <w:spacing w:line="360" w:lineRule="auto"/>
        <w:jc w:val="center"/>
      </w:pPr>
      <w:r>
        <w:rPr>
          <w:rFonts w:hint="eastAsia" w:ascii="黑体" w:hAnsi="黑体" w:cs="黑体"/>
          <w:kern w:val="0"/>
        </w:rPr>
        <w:t>监控设备管理页面</w:t>
      </w:r>
    </w:p>
    <w:p w14:paraId="79CFA5E5">
      <w:pPr>
        <w:pStyle w:val="3"/>
        <w:numPr>
          <w:ilvl w:val="0"/>
          <w:numId w:val="5"/>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【删除】</w:t>
      </w:r>
    </w:p>
    <w:p w14:paraId="2C26D796">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点击“删除”按钮对角色权限进行删除，可删除角色权限。系统将提示确认是否删除该角色。</w:t>
      </w:r>
    </w:p>
    <w:p w14:paraId="34FECBC2">
      <w:pPr>
        <w:pStyle w:val="7"/>
        <w:ind w:left="0" w:leftChars="0" w:firstLine="0" w:firstLineChars="0"/>
      </w:pPr>
      <w:r>
        <w:drawing>
          <wp:inline distT="0" distB="0" distL="0" distR="0">
            <wp:extent cx="5759450" cy="2806065"/>
            <wp:effectExtent l="0" t="0" r="1270" b="1333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0"/>
                    <a:stretch>
                      <a:fillRect/>
                    </a:stretch>
                  </pic:blipFill>
                  <pic:spPr>
                    <a:xfrm>
                      <a:off x="0" y="0"/>
                      <a:ext cx="5759450" cy="2806065"/>
                    </a:xfrm>
                    <a:prstGeom prst="rect">
                      <a:avLst/>
                    </a:prstGeom>
                  </pic:spPr>
                </pic:pic>
              </a:graphicData>
            </a:graphic>
          </wp:inline>
        </w:drawing>
      </w:r>
    </w:p>
    <w:p w14:paraId="3C9991D6">
      <w:pPr>
        <w:pStyle w:val="9"/>
        <w:widowControl/>
        <w:numPr>
          <w:ilvl w:val="0"/>
          <w:numId w:val="3"/>
        </w:numPr>
        <w:spacing w:line="360" w:lineRule="auto"/>
        <w:jc w:val="center"/>
        <w:rPr>
          <w:rFonts w:hint="eastAsia"/>
          <w:lang w:val="en-US" w:eastAsia="zh-CN"/>
        </w:rPr>
      </w:pPr>
      <w:r>
        <w:rPr>
          <w:rFonts w:hint="eastAsia" w:ascii="黑体" w:hAnsi="黑体" w:cs="黑体"/>
          <w:kern w:val="0"/>
        </w:rPr>
        <w:t>监控设备管理页面</w:t>
      </w:r>
    </w:p>
    <w:p w14:paraId="218952E8">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8" w:name="_Toc8889"/>
      <w:bookmarkStart w:id="9" w:name="_Toc21268"/>
      <w:r>
        <w:rPr>
          <w:rFonts w:hint="eastAsia" w:ascii="黑体" w:hAnsi="黑体" w:eastAsia="黑体"/>
          <w:b w:val="0"/>
          <w:bCs w:val="0"/>
          <w:sz w:val="32"/>
        </w:rPr>
        <w:t>监控管理</w:t>
      </w:r>
      <w:bookmarkEnd w:id="8"/>
      <w:bookmarkEnd w:id="9"/>
    </w:p>
    <w:p w14:paraId="1CD3C8B9">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10" w:name="_Toc5147"/>
      <w:bookmarkStart w:id="11" w:name="_Toc20381"/>
      <w:r>
        <w:rPr>
          <w:rFonts w:hint="eastAsia" w:ascii="黑体" w:hAnsi="黑体" w:eastAsia="黑体"/>
          <w:b w:val="0"/>
          <w:bCs w:val="0"/>
          <w:sz w:val="28"/>
          <w:szCs w:val="40"/>
        </w:rPr>
        <w:t>监控设备预览</w:t>
      </w:r>
      <w:bookmarkEnd w:id="10"/>
      <w:bookmarkEnd w:id="11"/>
    </w:p>
    <w:p w14:paraId="75706F9A">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首先在顶部选择实时监控功能模块再点击左侧菜单栏中监控管理-监控设备预览进入，可对监控设备远程控制，包括开启、关闭、控制角度、拍摄、报警等，扩大实时监控的捕捉范围。</w:t>
      </w:r>
    </w:p>
    <w:p w14:paraId="5D96B477">
      <w:pPr>
        <w:pStyle w:val="3"/>
        <w:spacing w:line="360" w:lineRule="auto"/>
        <w:ind w:left="0" w:leftChars="0" w:firstLine="0" w:firstLineChars="0"/>
      </w:pPr>
      <w:r>
        <w:drawing>
          <wp:inline distT="0" distB="0" distL="0" distR="0">
            <wp:extent cx="5759450" cy="2519045"/>
            <wp:effectExtent l="0" t="0" r="1270" b="1079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1"/>
                    <a:stretch>
                      <a:fillRect/>
                    </a:stretch>
                  </pic:blipFill>
                  <pic:spPr>
                    <a:xfrm>
                      <a:off x="0" y="0"/>
                      <a:ext cx="5759450" cy="2519045"/>
                    </a:xfrm>
                    <a:prstGeom prst="rect">
                      <a:avLst/>
                    </a:prstGeom>
                  </pic:spPr>
                </pic:pic>
              </a:graphicData>
            </a:graphic>
          </wp:inline>
        </w:drawing>
      </w:r>
    </w:p>
    <w:p w14:paraId="4BD6A2F8">
      <w:pPr>
        <w:pStyle w:val="9"/>
        <w:widowControl/>
        <w:numPr>
          <w:ilvl w:val="0"/>
          <w:numId w:val="3"/>
        </w:numPr>
        <w:spacing w:line="360" w:lineRule="auto"/>
        <w:jc w:val="center"/>
      </w:pPr>
      <w:r>
        <w:rPr>
          <w:rFonts w:hint="eastAsia" w:ascii="黑体" w:hAnsi="黑体" w:cs="黑体"/>
          <w:kern w:val="0"/>
        </w:rPr>
        <w:t>监控</w:t>
      </w:r>
      <w:r>
        <w:rPr>
          <w:rFonts w:hint="eastAsia" w:ascii="黑体" w:hAnsi="黑体" w:cs="黑体"/>
          <w:kern w:val="0"/>
          <w:lang w:val="en-US" w:eastAsia="zh-CN"/>
        </w:rPr>
        <w:t>设备预览</w:t>
      </w:r>
      <w:r>
        <w:rPr>
          <w:rFonts w:hint="eastAsia" w:ascii="黑体" w:hAnsi="黑体" w:cs="黑体"/>
          <w:kern w:val="0"/>
        </w:rPr>
        <w:t>页面</w:t>
      </w:r>
    </w:p>
    <w:p w14:paraId="22EC7668">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12" w:name="_Toc28151"/>
      <w:bookmarkStart w:id="13" w:name="_Toc264"/>
      <w:r>
        <w:rPr>
          <w:rFonts w:hint="eastAsia" w:ascii="黑体" w:hAnsi="黑体" w:eastAsia="黑体"/>
          <w:b w:val="0"/>
          <w:bCs w:val="0"/>
          <w:sz w:val="28"/>
          <w:szCs w:val="40"/>
        </w:rPr>
        <w:t>监控设备布局</w:t>
      </w:r>
      <w:bookmarkEnd w:id="12"/>
      <w:bookmarkEnd w:id="13"/>
    </w:p>
    <w:p w14:paraId="50C8C125">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实时监控功能模块再点击左侧菜单栏中监控管理-监控设备布局进入，能够根据监控设备所属位置，通过电子地图直观显示，并查看设备的运行状态、预警内容及图像，形成网格化的监控设备布局。</w:t>
      </w:r>
    </w:p>
    <w:p w14:paraId="69B5A770">
      <w:pPr>
        <w:pStyle w:val="3"/>
        <w:spacing w:line="360" w:lineRule="auto"/>
        <w:ind w:left="0" w:leftChars="0" w:firstLine="0" w:firstLineChars="0"/>
      </w:pPr>
      <w:r>
        <w:drawing>
          <wp:inline distT="0" distB="0" distL="0" distR="0">
            <wp:extent cx="5759450" cy="2684145"/>
            <wp:effectExtent l="0" t="0" r="1270" b="133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2"/>
                    <a:stretch>
                      <a:fillRect/>
                    </a:stretch>
                  </pic:blipFill>
                  <pic:spPr>
                    <a:xfrm>
                      <a:off x="0" y="0"/>
                      <a:ext cx="5759450" cy="2684145"/>
                    </a:xfrm>
                    <a:prstGeom prst="rect">
                      <a:avLst/>
                    </a:prstGeom>
                  </pic:spPr>
                </pic:pic>
              </a:graphicData>
            </a:graphic>
          </wp:inline>
        </w:drawing>
      </w:r>
    </w:p>
    <w:p w14:paraId="0E74C00B">
      <w:pPr>
        <w:pStyle w:val="9"/>
        <w:widowControl/>
        <w:numPr>
          <w:ilvl w:val="0"/>
          <w:numId w:val="3"/>
        </w:numPr>
        <w:spacing w:line="360" w:lineRule="auto"/>
        <w:jc w:val="center"/>
      </w:pPr>
      <w:r>
        <w:rPr>
          <w:rFonts w:hint="eastAsia" w:ascii="黑体" w:hAnsi="黑体" w:cs="黑体"/>
          <w:kern w:val="0"/>
        </w:rPr>
        <w:t>监控</w:t>
      </w:r>
      <w:r>
        <w:rPr>
          <w:rFonts w:hint="eastAsia" w:ascii="黑体" w:hAnsi="黑体" w:cs="黑体"/>
          <w:kern w:val="0"/>
          <w:lang w:val="en-US" w:eastAsia="zh-CN"/>
        </w:rPr>
        <w:t>设备布局</w:t>
      </w:r>
      <w:r>
        <w:rPr>
          <w:rFonts w:hint="eastAsia" w:ascii="黑体" w:hAnsi="黑体" w:cs="黑体"/>
          <w:kern w:val="0"/>
        </w:rPr>
        <w:t>页面</w:t>
      </w:r>
    </w:p>
    <w:p w14:paraId="3FFC1644">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14" w:name="_Toc76"/>
      <w:bookmarkStart w:id="15" w:name="_Toc13408"/>
      <w:r>
        <w:rPr>
          <w:rFonts w:hint="eastAsia" w:ascii="黑体" w:hAnsi="黑体" w:eastAsia="黑体"/>
          <w:b w:val="0"/>
          <w:bCs w:val="0"/>
          <w:sz w:val="28"/>
          <w:szCs w:val="40"/>
        </w:rPr>
        <w:t>录像策略管理</w:t>
      </w:r>
      <w:bookmarkEnd w:id="14"/>
      <w:bookmarkEnd w:id="15"/>
    </w:p>
    <w:p w14:paraId="5769DA9D">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首先在顶部选择实时监控功能模块再点击左侧菜单栏中监控管理-录像策略管理进入，可进行监控资料的电子化管理，包括“新增”、“删除”、“修改”、“权限管理”、“数据备份”、“数据恢复”等操作。</w:t>
      </w:r>
    </w:p>
    <w:p w14:paraId="4DE4EE49">
      <w:pPr>
        <w:pStyle w:val="3"/>
        <w:spacing w:line="360" w:lineRule="auto"/>
        <w:ind w:left="0" w:leftChars="0" w:firstLine="0" w:firstLineChars="0"/>
      </w:pPr>
      <w:r>
        <w:drawing>
          <wp:inline distT="0" distB="0" distL="0" distR="0">
            <wp:extent cx="5759450" cy="2690495"/>
            <wp:effectExtent l="0" t="0" r="1270" b="698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3"/>
                    <a:stretch>
                      <a:fillRect/>
                    </a:stretch>
                  </pic:blipFill>
                  <pic:spPr>
                    <a:xfrm>
                      <a:off x="0" y="0"/>
                      <a:ext cx="5759450" cy="2690495"/>
                    </a:xfrm>
                    <a:prstGeom prst="rect">
                      <a:avLst/>
                    </a:prstGeom>
                  </pic:spPr>
                </pic:pic>
              </a:graphicData>
            </a:graphic>
          </wp:inline>
        </w:drawing>
      </w:r>
    </w:p>
    <w:p w14:paraId="090C146D">
      <w:pPr>
        <w:pStyle w:val="9"/>
        <w:widowControl/>
        <w:numPr>
          <w:ilvl w:val="0"/>
          <w:numId w:val="3"/>
        </w:numPr>
        <w:spacing w:line="360" w:lineRule="auto"/>
        <w:jc w:val="center"/>
      </w:pPr>
      <w:r>
        <w:rPr>
          <w:rFonts w:hint="eastAsia" w:ascii="黑体" w:hAnsi="黑体" w:cs="黑体"/>
          <w:kern w:val="0"/>
        </w:rPr>
        <w:t>监控</w:t>
      </w:r>
      <w:r>
        <w:rPr>
          <w:rFonts w:hint="eastAsia" w:ascii="黑体" w:hAnsi="黑体" w:cs="黑体"/>
          <w:kern w:val="0"/>
          <w:lang w:val="en-US" w:eastAsia="zh-CN"/>
        </w:rPr>
        <w:t>管理录像策略</w:t>
      </w:r>
      <w:r>
        <w:rPr>
          <w:rFonts w:hint="eastAsia" w:ascii="黑体" w:hAnsi="黑体" w:cs="黑体"/>
          <w:kern w:val="0"/>
        </w:rPr>
        <w:t>页面</w:t>
      </w:r>
    </w:p>
    <w:p w14:paraId="0E3BF796">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16" w:name="_Toc11196"/>
      <w:bookmarkStart w:id="17" w:name="_Toc19835"/>
      <w:r>
        <w:rPr>
          <w:rFonts w:hint="eastAsia" w:ascii="黑体" w:hAnsi="黑体" w:eastAsia="黑体"/>
          <w:b w:val="0"/>
          <w:bCs w:val="0"/>
          <w:sz w:val="32"/>
        </w:rPr>
        <w:t>监控材料管理</w:t>
      </w:r>
      <w:bookmarkEnd w:id="16"/>
      <w:bookmarkEnd w:id="17"/>
    </w:p>
    <w:p w14:paraId="029EF983">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18" w:name="_Toc2802"/>
      <w:bookmarkStart w:id="19" w:name="_Toc31630"/>
      <w:r>
        <w:rPr>
          <w:rFonts w:hint="eastAsia" w:ascii="黑体" w:hAnsi="黑体" w:eastAsia="黑体"/>
          <w:b w:val="0"/>
          <w:bCs w:val="0"/>
          <w:sz w:val="28"/>
          <w:szCs w:val="40"/>
        </w:rPr>
        <w:t>监控资料调取</w:t>
      </w:r>
      <w:bookmarkEnd w:id="18"/>
      <w:bookmarkEnd w:id="19"/>
    </w:p>
    <w:p w14:paraId="23324CA9">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首先在顶部选择实时监控功能模块再点击左侧菜单栏中监控资料管理-监控资料调取进入，可进行监控资料的调取回看。</w:t>
      </w:r>
    </w:p>
    <w:p w14:paraId="1C14DC6B">
      <w:pPr>
        <w:pStyle w:val="7"/>
        <w:ind w:left="210" w:leftChars="0" w:hanging="210" w:hangingChars="100"/>
      </w:pPr>
      <w:r>
        <w:drawing>
          <wp:inline distT="0" distB="0" distL="0" distR="0">
            <wp:extent cx="5759450" cy="2691765"/>
            <wp:effectExtent l="0" t="0" r="1270" b="571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4"/>
                    <a:stretch>
                      <a:fillRect/>
                    </a:stretch>
                  </pic:blipFill>
                  <pic:spPr>
                    <a:xfrm>
                      <a:off x="0" y="0"/>
                      <a:ext cx="5759450" cy="2691765"/>
                    </a:xfrm>
                    <a:prstGeom prst="rect">
                      <a:avLst/>
                    </a:prstGeom>
                  </pic:spPr>
                </pic:pic>
              </a:graphicData>
            </a:graphic>
          </wp:inline>
        </w:drawing>
      </w:r>
    </w:p>
    <w:p w14:paraId="0F1F440E">
      <w:pPr>
        <w:pStyle w:val="9"/>
        <w:widowControl/>
        <w:numPr>
          <w:ilvl w:val="0"/>
          <w:numId w:val="3"/>
        </w:numPr>
        <w:spacing w:line="360" w:lineRule="auto"/>
        <w:jc w:val="center"/>
      </w:pPr>
      <w:r>
        <w:rPr>
          <w:rFonts w:hint="eastAsia" w:ascii="黑体" w:hAnsi="黑体" w:cs="黑体"/>
          <w:kern w:val="0"/>
        </w:rPr>
        <w:t>监控</w:t>
      </w:r>
      <w:r>
        <w:rPr>
          <w:rFonts w:hint="eastAsia" w:ascii="黑体" w:hAnsi="黑体" w:cs="黑体"/>
          <w:kern w:val="0"/>
          <w:lang w:val="en-US" w:eastAsia="zh-CN"/>
        </w:rPr>
        <w:t>资料调取</w:t>
      </w:r>
      <w:r>
        <w:rPr>
          <w:rFonts w:hint="eastAsia" w:ascii="黑体" w:hAnsi="黑体" w:cs="黑体"/>
          <w:kern w:val="0"/>
        </w:rPr>
        <w:t>页面</w:t>
      </w:r>
    </w:p>
    <w:p w14:paraId="7E0392CC">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20" w:name="_Toc26982"/>
      <w:bookmarkStart w:id="21" w:name="_Toc4519"/>
      <w:r>
        <w:rPr>
          <w:rFonts w:hint="eastAsia" w:ascii="黑体" w:hAnsi="黑体" w:eastAsia="黑体"/>
          <w:b w:val="0"/>
          <w:bCs w:val="0"/>
          <w:sz w:val="32"/>
        </w:rPr>
        <w:t>网格管理</w:t>
      </w:r>
      <w:bookmarkEnd w:id="20"/>
      <w:bookmarkEnd w:id="21"/>
    </w:p>
    <w:p w14:paraId="46577AA5">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对接长江流域禁捕水域电子图册，以电子图册为底图，基于一张图，汇总分析省市县各级网格总体情况，显示网格长、责任人、执法人员、协助巡护人员等备案信息，并提供网格角色、用户的管理及维护。</w:t>
      </w:r>
    </w:p>
    <w:p w14:paraId="761B5D83">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22" w:name="_Toc29676"/>
      <w:bookmarkStart w:id="23" w:name="_Toc19689"/>
      <w:r>
        <w:rPr>
          <w:rFonts w:hint="eastAsia" w:ascii="黑体" w:hAnsi="黑体" w:eastAsia="黑体"/>
          <w:b w:val="0"/>
          <w:bCs w:val="0"/>
          <w:sz w:val="28"/>
          <w:szCs w:val="40"/>
        </w:rPr>
        <w:t>巡检轨迹</w:t>
      </w:r>
      <w:bookmarkEnd w:id="22"/>
      <w:bookmarkEnd w:id="23"/>
    </w:p>
    <w:p w14:paraId="0BDA66F5">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首先在顶部选择指挥调度功能模块再点击左侧菜单栏中网格管理-巡检轨迹进入，可</w:t>
      </w:r>
      <w:r>
        <w:rPr>
          <w:rFonts w:hint="eastAsia" w:ascii="宋体" w:hAnsi="宋体" w:eastAsia="宋体" w:cs="宋体"/>
          <w:sz w:val="24"/>
          <w:szCs w:val="24"/>
          <w:lang w:eastAsia="zh-CN"/>
        </w:rPr>
        <w:t>创建</w:t>
      </w:r>
      <w:r>
        <w:rPr>
          <w:rFonts w:hint="eastAsia" w:ascii="宋体" w:hAnsi="宋体" w:eastAsia="宋体" w:cs="宋体"/>
          <w:sz w:val="24"/>
          <w:szCs w:val="24"/>
        </w:rPr>
        <w:t>巡检任务，执行巡检任务后可查看网格人员的巡检轨迹。</w:t>
      </w:r>
    </w:p>
    <w:p w14:paraId="76659FB2">
      <w:pPr>
        <w:pStyle w:val="3"/>
        <w:spacing w:line="360" w:lineRule="auto"/>
        <w:ind w:left="0" w:leftChars="0" w:firstLine="0" w:firstLineChars="0"/>
      </w:pPr>
      <w:r>
        <w:drawing>
          <wp:inline distT="0" distB="0" distL="0" distR="0">
            <wp:extent cx="5759450" cy="2685415"/>
            <wp:effectExtent l="0" t="0" r="1270" b="1206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5"/>
                    <a:stretch>
                      <a:fillRect/>
                    </a:stretch>
                  </pic:blipFill>
                  <pic:spPr>
                    <a:xfrm>
                      <a:off x="0" y="0"/>
                      <a:ext cx="5759450" cy="2685415"/>
                    </a:xfrm>
                    <a:prstGeom prst="rect">
                      <a:avLst/>
                    </a:prstGeom>
                  </pic:spPr>
                </pic:pic>
              </a:graphicData>
            </a:graphic>
          </wp:inline>
        </w:drawing>
      </w:r>
    </w:p>
    <w:p w14:paraId="64156DA5">
      <w:pPr>
        <w:pStyle w:val="9"/>
        <w:widowControl/>
        <w:numPr>
          <w:ilvl w:val="0"/>
          <w:numId w:val="3"/>
        </w:numPr>
        <w:spacing w:line="360" w:lineRule="auto"/>
        <w:jc w:val="center"/>
      </w:pPr>
      <w:r>
        <w:rPr>
          <w:rFonts w:hint="eastAsia" w:ascii="黑体" w:hAnsi="黑体" w:cs="黑体"/>
          <w:kern w:val="0"/>
          <w:lang w:val="en-US" w:eastAsia="zh-CN"/>
        </w:rPr>
        <w:t>巡检轨迹</w:t>
      </w:r>
      <w:r>
        <w:rPr>
          <w:rFonts w:hint="eastAsia" w:ascii="黑体" w:hAnsi="黑体" w:cs="黑体"/>
          <w:kern w:val="0"/>
        </w:rPr>
        <w:t>页面</w:t>
      </w:r>
    </w:p>
    <w:p w14:paraId="50FB7D10">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24" w:name="_Toc3806"/>
      <w:bookmarkStart w:id="25" w:name="_Toc3184"/>
      <w:r>
        <w:rPr>
          <w:rFonts w:hint="eastAsia" w:ascii="黑体" w:hAnsi="黑体" w:eastAsia="黑体"/>
          <w:b w:val="0"/>
          <w:bCs w:val="0"/>
          <w:sz w:val="28"/>
          <w:szCs w:val="40"/>
        </w:rPr>
        <w:t>巡查日志</w:t>
      </w:r>
      <w:bookmarkEnd w:id="24"/>
      <w:bookmarkEnd w:id="25"/>
    </w:p>
    <w:p w14:paraId="060C14A0">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首先在顶部选择指挥调度功能模块再点击左侧菜单栏中网格管理-巡检日志进入，可查看网格人员的巡检日志完成情况。</w:t>
      </w:r>
    </w:p>
    <w:p w14:paraId="4CCA7D4D">
      <w:pPr>
        <w:pStyle w:val="3"/>
        <w:spacing w:line="360" w:lineRule="auto"/>
        <w:ind w:left="0" w:leftChars="0" w:firstLine="0" w:firstLineChars="0"/>
      </w:pPr>
      <w:r>
        <w:drawing>
          <wp:inline distT="0" distB="0" distL="0" distR="0">
            <wp:extent cx="5759450" cy="2690495"/>
            <wp:effectExtent l="0" t="0" r="1270" b="698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6"/>
                    <a:stretch>
                      <a:fillRect/>
                    </a:stretch>
                  </pic:blipFill>
                  <pic:spPr>
                    <a:xfrm>
                      <a:off x="0" y="0"/>
                      <a:ext cx="5759450" cy="2690495"/>
                    </a:xfrm>
                    <a:prstGeom prst="rect">
                      <a:avLst/>
                    </a:prstGeom>
                  </pic:spPr>
                </pic:pic>
              </a:graphicData>
            </a:graphic>
          </wp:inline>
        </w:drawing>
      </w:r>
    </w:p>
    <w:p w14:paraId="3A35E7F2">
      <w:pPr>
        <w:pStyle w:val="9"/>
        <w:widowControl/>
        <w:numPr>
          <w:ilvl w:val="0"/>
          <w:numId w:val="3"/>
        </w:numPr>
        <w:spacing w:line="360" w:lineRule="auto"/>
        <w:jc w:val="center"/>
      </w:pPr>
      <w:r>
        <w:rPr>
          <w:rFonts w:hint="eastAsia"/>
          <w:lang w:val="en-US" w:eastAsia="zh-CN"/>
        </w:rPr>
        <w:t>巡查日志页面</w:t>
      </w:r>
    </w:p>
    <w:p w14:paraId="29A8B3B7">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26" w:name="_Toc31770"/>
      <w:bookmarkStart w:id="27" w:name="_Toc18929"/>
      <w:r>
        <w:rPr>
          <w:rFonts w:hint="eastAsia" w:ascii="黑体" w:hAnsi="黑体" w:eastAsia="黑体"/>
          <w:b w:val="0"/>
          <w:bCs w:val="0"/>
          <w:sz w:val="28"/>
          <w:szCs w:val="40"/>
        </w:rPr>
        <w:t>相关案件</w:t>
      </w:r>
      <w:bookmarkEnd w:id="26"/>
      <w:bookmarkEnd w:id="27"/>
    </w:p>
    <w:p w14:paraId="6755A481">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首先在顶部选择指挥调度功能模块再点击左侧菜单栏中网格管理-相关案件进入，可查询案件信息，包括案件的类型和案件时间等信息。</w:t>
      </w:r>
    </w:p>
    <w:p w14:paraId="5617EE37">
      <w:pPr>
        <w:pStyle w:val="3"/>
        <w:spacing w:line="360" w:lineRule="auto"/>
        <w:ind w:left="0" w:leftChars="0" w:firstLine="0" w:firstLineChars="0"/>
      </w:pPr>
      <w:r>
        <w:drawing>
          <wp:inline distT="0" distB="0" distL="0" distR="0">
            <wp:extent cx="5759450" cy="2690495"/>
            <wp:effectExtent l="0" t="0" r="1270" b="698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17"/>
                    <a:stretch>
                      <a:fillRect/>
                    </a:stretch>
                  </pic:blipFill>
                  <pic:spPr>
                    <a:xfrm>
                      <a:off x="0" y="0"/>
                      <a:ext cx="5759450" cy="2690495"/>
                    </a:xfrm>
                    <a:prstGeom prst="rect">
                      <a:avLst/>
                    </a:prstGeom>
                  </pic:spPr>
                </pic:pic>
              </a:graphicData>
            </a:graphic>
          </wp:inline>
        </w:drawing>
      </w:r>
    </w:p>
    <w:p w14:paraId="4A04C305">
      <w:pPr>
        <w:pStyle w:val="9"/>
        <w:widowControl/>
        <w:numPr>
          <w:ilvl w:val="0"/>
          <w:numId w:val="3"/>
        </w:numPr>
        <w:spacing w:line="360" w:lineRule="auto"/>
        <w:jc w:val="center"/>
      </w:pPr>
      <w:r>
        <w:rPr>
          <w:rFonts w:hint="eastAsia"/>
          <w:lang w:val="en-US" w:eastAsia="zh-CN"/>
        </w:rPr>
        <w:t>巡查案件页面</w:t>
      </w:r>
    </w:p>
    <w:p w14:paraId="54E23A79">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28" w:name="_Toc15233"/>
      <w:bookmarkStart w:id="29" w:name="_Toc7438"/>
      <w:r>
        <w:rPr>
          <w:rFonts w:hint="eastAsia" w:ascii="黑体" w:hAnsi="黑体" w:eastAsia="黑体"/>
          <w:b w:val="0"/>
          <w:bCs w:val="0"/>
          <w:sz w:val="28"/>
          <w:szCs w:val="40"/>
        </w:rPr>
        <w:t>统计分析</w:t>
      </w:r>
      <w:bookmarkEnd w:id="28"/>
      <w:bookmarkEnd w:id="29"/>
    </w:p>
    <w:p w14:paraId="03B2D492">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首先在顶部选择指挥调度功能模块再点击左侧菜单栏中网格管理-统计分析进入，可查看网格人员统计分析情况，能够按照如地区、省、时间、所辖区域、案件等多种维度进行汇总分析网格人员。</w:t>
      </w:r>
    </w:p>
    <w:p w14:paraId="0D03C351">
      <w:pPr>
        <w:pStyle w:val="3"/>
        <w:spacing w:line="360" w:lineRule="auto"/>
        <w:ind w:left="0" w:leftChars="0" w:firstLine="0" w:firstLineChars="0"/>
      </w:pPr>
      <w:r>
        <w:drawing>
          <wp:inline distT="0" distB="0" distL="0" distR="0">
            <wp:extent cx="5759450" cy="2690495"/>
            <wp:effectExtent l="0" t="0" r="1270" b="6985"/>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18"/>
                    <a:stretch>
                      <a:fillRect/>
                    </a:stretch>
                  </pic:blipFill>
                  <pic:spPr>
                    <a:xfrm>
                      <a:off x="0" y="0"/>
                      <a:ext cx="5759450" cy="2690495"/>
                    </a:xfrm>
                    <a:prstGeom prst="rect">
                      <a:avLst/>
                    </a:prstGeom>
                  </pic:spPr>
                </pic:pic>
              </a:graphicData>
            </a:graphic>
          </wp:inline>
        </w:drawing>
      </w:r>
    </w:p>
    <w:p w14:paraId="082E48B3">
      <w:pPr>
        <w:pStyle w:val="9"/>
        <w:widowControl/>
        <w:numPr>
          <w:ilvl w:val="0"/>
          <w:numId w:val="3"/>
        </w:numPr>
        <w:spacing w:line="360" w:lineRule="auto"/>
        <w:jc w:val="center"/>
      </w:pPr>
      <w:r>
        <w:rPr>
          <w:rFonts w:hint="eastAsia"/>
          <w:lang w:val="en-US" w:eastAsia="zh-CN"/>
        </w:rPr>
        <w:t>统计分析页面</w:t>
      </w:r>
    </w:p>
    <w:p w14:paraId="14CF56FD">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30" w:name="_Toc14921"/>
      <w:bookmarkStart w:id="31" w:name="_Toc23450"/>
      <w:r>
        <w:rPr>
          <w:rFonts w:hint="eastAsia" w:ascii="黑体" w:hAnsi="黑体" w:eastAsia="黑体"/>
          <w:b w:val="0"/>
          <w:bCs w:val="0"/>
          <w:sz w:val="32"/>
        </w:rPr>
        <w:t>监控预警</w:t>
      </w:r>
      <w:bookmarkEnd w:id="30"/>
      <w:bookmarkEnd w:id="31"/>
    </w:p>
    <w:p w14:paraId="1773CE9A">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32" w:name="_Toc148"/>
      <w:bookmarkStart w:id="33" w:name="_Toc12932"/>
      <w:r>
        <w:rPr>
          <w:rFonts w:hint="eastAsia" w:ascii="黑体" w:hAnsi="黑体" w:eastAsia="黑体"/>
          <w:b w:val="0"/>
          <w:bCs w:val="0"/>
          <w:sz w:val="28"/>
          <w:szCs w:val="40"/>
        </w:rPr>
        <w:t>违法行为预警</w:t>
      </w:r>
      <w:bookmarkEnd w:id="32"/>
      <w:bookmarkEnd w:id="33"/>
    </w:p>
    <w:p w14:paraId="6C787448">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监控预警-违法行为预警进入，可以疑似违法行为自动识别及预警功能，基于前端感知设备监控的信息，自动将预警信息传输至指挥中心及相应的网格负责人。</w:t>
      </w:r>
    </w:p>
    <w:p w14:paraId="21DBF525">
      <w:pPr>
        <w:pStyle w:val="7"/>
        <w:ind w:left="210" w:leftChars="0" w:hanging="210" w:hangingChars="100"/>
      </w:pPr>
      <w:r>
        <w:drawing>
          <wp:inline distT="0" distB="0" distL="0" distR="0">
            <wp:extent cx="5759450" cy="2690495"/>
            <wp:effectExtent l="0" t="0" r="1270" b="698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19"/>
                    <a:stretch>
                      <a:fillRect/>
                    </a:stretch>
                  </pic:blipFill>
                  <pic:spPr>
                    <a:xfrm>
                      <a:off x="0" y="0"/>
                      <a:ext cx="5759450" cy="2690495"/>
                    </a:xfrm>
                    <a:prstGeom prst="rect">
                      <a:avLst/>
                    </a:prstGeom>
                  </pic:spPr>
                </pic:pic>
              </a:graphicData>
            </a:graphic>
          </wp:inline>
        </w:drawing>
      </w:r>
    </w:p>
    <w:p w14:paraId="32F9042E">
      <w:pPr>
        <w:pStyle w:val="9"/>
        <w:widowControl/>
        <w:numPr>
          <w:ilvl w:val="0"/>
          <w:numId w:val="3"/>
        </w:numPr>
        <w:spacing w:line="360" w:lineRule="auto"/>
        <w:jc w:val="center"/>
      </w:pPr>
      <w:r>
        <w:rPr>
          <w:rFonts w:hint="eastAsia"/>
          <w:lang w:val="en-US" w:eastAsia="zh-CN"/>
        </w:rPr>
        <w:t>违法行为预警页面</w:t>
      </w:r>
    </w:p>
    <w:p w14:paraId="04368642">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34" w:name="_Toc10621"/>
      <w:bookmarkStart w:id="35" w:name="_Toc12614"/>
      <w:r>
        <w:rPr>
          <w:rFonts w:hint="eastAsia" w:ascii="黑体" w:hAnsi="黑体" w:eastAsia="黑体"/>
          <w:b w:val="0"/>
          <w:bCs w:val="0"/>
          <w:sz w:val="28"/>
          <w:szCs w:val="40"/>
        </w:rPr>
        <w:t>消息推送中心</w:t>
      </w:r>
      <w:bookmarkEnd w:id="34"/>
      <w:bookmarkEnd w:id="35"/>
    </w:p>
    <w:p w14:paraId="78DBD435">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首先在顶部选择指挥调度功能模块再点击左侧菜单栏中监控预警-消息推送中心进入，可配置通过短信、微信公众号、邮箱、消息等多种推送方式。</w:t>
      </w:r>
    </w:p>
    <w:p w14:paraId="06137D92">
      <w:pPr>
        <w:pStyle w:val="7"/>
        <w:ind w:left="0" w:leftChars="0" w:firstLine="0" w:firstLineChars="0"/>
      </w:pPr>
      <w:r>
        <w:drawing>
          <wp:inline distT="0" distB="0" distL="0" distR="0">
            <wp:extent cx="5759450" cy="2687320"/>
            <wp:effectExtent l="0" t="0" r="1270" b="1016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pic:cNvPicPr>
                  </pic:nvPicPr>
                  <pic:blipFill>
                    <a:blip r:embed="rId20"/>
                    <a:stretch>
                      <a:fillRect/>
                    </a:stretch>
                  </pic:blipFill>
                  <pic:spPr>
                    <a:xfrm>
                      <a:off x="0" y="0"/>
                      <a:ext cx="5759450" cy="2687320"/>
                    </a:xfrm>
                    <a:prstGeom prst="rect">
                      <a:avLst/>
                    </a:prstGeom>
                  </pic:spPr>
                </pic:pic>
              </a:graphicData>
            </a:graphic>
          </wp:inline>
        </w:drawing>
      </w:r>
    </w:p>
    <w:p w14:paraId="4888B381">
      <w:pPr>
        <w:pStyle w:val="9"/>
        <w:widowControl/>
        <w:numPr>
          <w:ilvl w:val="0"/>
          <w:numId w:val="3"/>
        </w:numPr>
        <w:spacing w:line="360" w:lineRule="auto"/>
        <w:jc w:val="center"/>
      </w:pPr>
      <w:r>
        <w:rPr>
          <w:rFonts w:hint="eastAsia"/>
          <w:lang w:val="en-US" w:eastAsia="zh-CN"/>
        </w:rPr>
        <w:t>消息推送中心页面</w:t>
      </w:r>
    </w:p>
    <w:p w14:paraId="5D9452DA">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36" w:name="_Toc30536"/>
      <w:bookmarkStart w:id="37" w:name="_Toc29182"/>
      <w:r>
        <w:rPr>
          <w:rFonts w:hint="eastAsia" w:ascii="黑体" w:hAnsi="黑体" w:eastAsia="黑体"/>
          <w:b w:val="0"/>
          <w:bCs w:val="0"/>
          <w:sz w:val="32"/>
        </w:rPr>
        <w:t>指挥调度</w:t>
      </w:r>
      <w:bookmarkEnd w:id="36"/>
      <w:bookmarkEnd w:id="37"/>
    </w:p>
    <w:p w14:paraId="45C6D28E">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38" w:name="_Toc25180"/>
      <w:bookmarkStart w:id="39" w:name="_Toc16564"/>
      <w:r>
        <w:rPr>
          <w:rFonts w:hint="eastAsia" w:ascii="黑体" w:hAnsi="黑体" w:eastAsia="黑体"/>
          <w:b w:val="0"/>
          <w:bCs w:val="0"/>
          <w:sz w:val="28"/>
          <w:szCs w:val="40"/>
        </w:rPr>
        <w:t>视频会商调度</w:t>
      </w:r>
      <w:bookmarkEnd w:id="38"/>
      <w:bookmarkEnd w:id="39"/>
    </w:p>
    <w:p w14:paraId="0DBE9F6A">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首先在顶部选择指挥调度功能模块再点击左侧菜单栏中指挥调度-视频会商调度进入，可在地图上快速查找渔政执法力量资源并进行资源的实时调度。</w:t>
      </w:r>
    </w:p>
    <w:p w14:paraId="411B75FB">
      <w:pPr>
        <w:pStyle w:val="3"/>
        <w:ind w:left="0" w:leftChars="0" w:firstLine="0" w:firstLineChars="0"/>
      </w:pPr>
      <w:r>
        <w:drawing>
          <wp:inline distT="0" distB="0" distL="0" distR="0">
            <wp:extent cx="5759450" cy="2686685"/>
            <wp:effectExtent l="0" t="0" r="1270" b="10795"/>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pic:cNvPicPr>
                  </pic:nvPicPr>
                  <pic:blipFill>
                    <a:blip r:embed="rId21"/>
                    <a:stretch>
                      <a:fillRect/>
                    </a:stretch>
                  </pic:blipFill>
                  <pic:spPr>
                    <a:xfrm>
                      <a:off x="0" y="0"/>
                      <a:ext cx="5759450" cy="2686685"/>
                    </a:xfrm>
                    <a:prstGeom prst="rect">
                      <a:avLst/>
                    </a:prstGeom>
                  </pic:spPr>
                </pic:pic>
              </a:graphicData>
            </a:graphic>
          </wp:inline>
        </w:drawing>
      </w:r>
    </w:p>
    <w:p w14:paraId="42FC66BF">
      <w:pPr>
        <w:pStyle w:val="9"/>
        <w:widowControl/>
        <w:numPr>
          <w:ilvl w:val="0"/>
          <w:numId w:val="3"/>
        </w:numPr>
        <w:spacing w:line="360" w:lineRule="auto"/>
        <w:jc w:val="center"/>
      </w:pPr>
      <w:r>
        <w:rPr>
          <w:rFonts w:hint="eastAsia"/>
          <w:lang w:val="en-US" w:eastAsia="zh-CN"/>
        </w:rPr>
        <w:t>视频会商调度页面</w:t>
      </w:r>
    </w:p>
    <w:p w14:paraId="54090271">
      <w:pPr>
        <w:pStyle w:val="3"/>
        <w:numPr>
          <w:ilvl w:val="0"/>
          <w:numId w:val="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【通讯录】</w:t>
      </w:r>
    </w:p>
    <w:p w14:paraId="17507650">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点击“远程会商”-“通讯录”按钮，打开创建群聊界面，可以和渔政执法部门用户进行视频会商，以及网上即时通讯及文件传输等功能</w:t>
      </w:r>
    </w:p>
    <w:p w14:paraId="15A2721C">
      <w:pPr>
        <w:pStyle w:val="3"/>
        <w:ind w:firstLine="0" w:firstLineChars="0"/>
        <w:jc w:val="center"/>
      </w:pPr>
      <w:r>
        <w:drawing>
          <wp:inline distT="0" distB="0" distL="0" distR="0">
            <wp:extent cx="5759450" cy="4732020"/>
            <wp:effectExtent l="0" t="0" r="1270" b="762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2"/>
                    <a:stretch>
                      <a:fillRect/>
                    </a:stretch>
                  </pic:blipFill>
                  <pic:spPr>
                    <a:xfrm>
                      <a:off x="0" y="0"/>
                      <a:ext cx="5759450" cy="4732020"/>
                    </a:xfrm>
                    <a:prstGeom prst="rect">
                      <a:avLst/>
                    </a:prstGeom>
                  </pic:spPr>
                </pic:pic>
              </a:graphicData>
            </a:graphic>
          </wp:inline>
        </w:drawing>
      </w:r>
    </w:p>
    <w:p w14:paraId="19820AE3">
      <w:pPr>
        <w:pStyle w:val="9"/>
        <w:widowControl/>
        <w:numPr>
          <w:ilvl w:val="0"/>
          <w:numId w:val="3"/>
        </w:numPr>
        <w:spacing w:line="360" w:lineRule="auto"/>
        <w:jc w:val="center"/>
      </w:pPr>
      <w:r>
        <w:rPr>
          <w:rFonts w:hint="eastAsia"/>
          <w:lang w:val="en-US" w:eastAsia="zh-CN"/>
        </w:rPr>
        <w:t>视频会商调度页面</w:t>
      </w:r>
    </w:p>
    <w:p w14:paraId="521FE2F3">
      <w:pPr>
        <w:pStyle w:val="3"/>
        <w:numPr>
          <w:ilvl w:val="0"/>
          <w:numId w:val="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【群联】</w:t>
      </w:r>
    </w:p>
    <w:p w14:paraId="14E9AD4B">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点击“确定”按钮，打开群聊界面，可以进行用户的音视频通话，以及发送图片文件等，需要和更多人员群聊时候，可以添加更多的成员进行群聊。 </w:t>
      </w:r>
    </w:p>
    <w:p w14:paraId="60409C0C">
      <w:pPr>
        <w:pStyle w:val="3"/>
        <w:ind w:firstLine="0" w:firstLineChars="0"/>
        <w:jc w:val="center"/>
      </w:pPr>
      <w:r>
        <w:drawing>
          <wp:inline distT="0" distB="0" distL="0" distR="0">
            <wp:extent cx="5759450" cy="4010025"/>
            <wp:effectExtent l="0" t="0" r="1270" b="1333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23"/>
                    <a:stretch>
                      <a:fillRect/>
                    </a:stretch>
                  </pic:blipFill>
                  <pic:spPr>
                    <a:xfrm>
                      <a:off x="0" y="0"/>
                      <a:ext cx="5759450" cy="4010025"/>
                    </a:xfrm>
                    <a:prstGeom prst="rect">
                      <a:avLst/>
                    </a:prstGeom>
                  </pic:spPr>
                </pic:pic>
              </a:graphicData>
            </a:graphic>
          </wp:inline>
        </w:drawing>
      </w:r>
    </w:p>
    <w:p w14:paraId="641D8F9B">
      <w:pPr>
        <w:pStyle w:val="9"/>
        <w:widowControl/>
        <w:numPr>
          <w:ilvl w:val="0"/>
          <w:numId w:val="3"/>
        </w:numPr>
        <w:spacing w:line="360" w:lineRule="auto"/>
        <w:jc w:val="center"/>
        <w:rPr>
          <w:rFonts w:hint="eastAsia"/>
        </w:rPr>
      </w:pPr>
      <w:r>
        <w:rPr>
          <w:rFonts w:hint="eastAsia"/>
          <w:lang w:val="en-US" w:eastAsia="zh-CN"/>
        </w:rPr>
        <w:t>视频会商调度页面</w:t>
      </w:r>
    </w:p>
    <w:p w14:paraId="637DDBD0">
      <w:pPr>
        <w:pStyle w:val="3"/>
        <w:numPr>
          <w:ilvl w:val="0"/>
          <w:numId w:val="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【音视频通话】</w:t>
      </w:r>
    </w:p>
    <w:p w14:paraId="7658A7F4">
      <w:pPr>
        <w:pageBreakBefore w:val="0"/>
        <w:kinsoku/>
        <w:wordWrap/>
        <w:overflowPunct/>
        <w:topLinePunct w:val="0"/>
        <w:autoSpaceDE/>
        <w:autoSpaceDN/>
        <w:bidi w:val="0"/>
        <w:adjustRightInd/>
        <w:spacing w:line="360" w:lineRule="auto"/>
        <w:ind w:firstLine="480" w:firstLineChars="200"/>
        <w:textAlignment w:val="auto"/>
      </w:pPr>
      <w:r>
        <w:rPr>
          <w:rFonts w:hint="eastAsia" w:ascii="宋体" w:hAnsi="宋体" w:eastAsia="宋体" w:cs="宋体"/>
          <w:sz w:val="24"/>
          <w:szCs w:val="24"/>
        </w:rPr>
        <w:t xml:space="preserve">点击“音视频通话”按钮，打开音视频会议拉取用户的客户端画面，进行音视频通话指挥调度，可以麦克风输入、全员静音、挂断、一键呼叫、视频共享功能。 </w:t>
      </w:r>
    </w:p>
    <w:p w14:paraId="69AA8E0F">
      <w:pPr>
        <w:pStyle w:val="3"/>
        <w:ind w:firstLine="0" w:firstLineChars="0"/>
        <w:jc w:val="center"/>
      </w:pPr>
      <w:r>
        <w:drawing>
          <wp:inline distT="0" distB="0" distL="0" distR="0">
            <wp:extent cx="5759450" cy="3984625"/>
            <wp:effectExtent l="0" t="0" r="1270" b="825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24"/>
                    <a:stretch>
                      <a:fillRect/>
                    </a:stretch>
                  </pic:blipFill>
                  <pic:spPr>
                    <a:xfrm>
                      <a:off x="0" y="0"/>
                      <a:ext cx="5759450" cy="3984625"/>
                    </a:xfrm>
                    <a:prstGeom prst="rect">
                      <a:avLst/>
                    </a:prstGeom>
                  </pic:spPr>
                </pic:pic>
              </a:graphicData>
            </a:graphic>
          </wp:inline>
        </w:drawing>
      </w:r>
    </w:p>
    <w:p w14:paraId="07D831F6">
      <w:pPr>
        <w:pStyle w:val="9"/>
        <w:widowControl/>
        <w:numPr>
          <w:ilvl w:val="0"/>
          <w:numId w:val="3"/>
        </w:numPr>
        <w:spacing w:line="360" w:lineRule="auto"/>
        <w:jc w:val="center"/>
        <w:rPr>
          <w:rFonts w:hint="eastAsia"/>
        </w:rPr>
      </w:pPr>
      <w:r>
        <w:rPr>
          <w:rFonts w:hint="eastAsia"/>
          <w:lang w:val="en-US" w:eastAsia="zh-CN"/>
        </w:rPr>
        <w:t>视频会商调度页面</w:t>
      </w:r>
    </w:p>
    <w:p w14:paraId="566E2303">
      <w:pPr>
        <w:pStyle w:val="3"/>
        <w:numPr>
          <w:ilvl w:val="0"/>
          <w:numId w:val="6"/>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【圈选</w:t>
      </w:r>
      <w:r>
        <w:rPr>
          <w:rFonts w:asciiTheme="minorEastAsia" w:hAnsiTheme="minorEastAsia" w:eastAsiaTheme="minorEastAsia"/>
          <w:sz w:val="24"/>
          <w:szCs w:val="24"/>
        </w:rPr>
        <w:t>\</w:t>
      </w:r>
      <w:r>
        <w:rPr>
          <w:rFonts w:hint="eastAsia" w:asciiTheme="minorEastAsia" w:hAnsiTheme="minorEastAsia" w:eastAsiaTheme="minorEastAsia"/>
          <w:sz w:val="24"/>
          <w:szCs w:val="24"/>
        </w:rPr>
        <w:t>框选】</w:t>
      </w:r>
    </w:p>
    <w:p w14:paraId="21DD6734">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点击“圈选\框选”按钮，地图上选择调度点位，列表可对所选点位进行视频会商功能。 </w:t>
      </w:r>
    </w:p>
    <w:p w14:paraId="74281FD8">
      <w:pPr>
        <w:pStyle w:val="3"/>
        <w:ind w:firstLine="0" w:firstLineChars="0"/>
        <w:jc w:val="center"/>
      </w:pPr>
      <w:r>
        <w:drawing>
          <wp:inline distT="0" distB="0" distL="0" distR="0">
            <wp:extent cx="5759450" cy="3264535"/>
            <wp:effectExtent l="0" t="0" r="1270" b="12065"/>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25"/>
                    <a:stretch>
                      <a:fillRect/>
                    </a:stretch>
                  </pic:blipFill>
                  <pic:spPr>
                    <a:xfrm>
                      <a:off x="0" y="0"/>
                      <a:ext cx="5759450" cy="3264535"/>
                    </a:xfrm>
                    <a:prstGeom prst="rect">
                      <a:avLst/>
                    </a:prstGeom>
                  </pic:spPr>
                </pic:pic>
              </a:graphicData>
            </a:graphic>
          </wp:inline>
        </w:drawing>
      </w:r>
    </w:p>
    <w:p w14:paraId="510B7A93">
      <w:pPr>
        <w:pStyle w:val="3"/>
        <w:numPr>
          <w:ilvl w:val="0"/>
          <w:numId w:val="6"/>
        </w:numPr>
        <w:spacing w:line="360" w:lineRule="auto"/>
        <w:ind w:firstLineChars="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【态势标绘】</w:t>
      </w:r>
    </w:p>
    <w:p w14:paraId="533126A2">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点击“态势标绘”功能，提供主题防控模拟功能，可以在地图上完成活动流程、安保信息、关注视频、警力、应急资源、重点区域等资源的部署。</w:t>
      </w:r>
    </w:p>
    <w:p w14:paraId="6A4A0BF2">
      <w:pPr>
        <w:pStyle w:val="3"/>
        <w:ind w:firstLine="0" w:firstLineChars="0"/>
        <w:jc w:val="center"/>
      </w:pPr>
      <w:r>
        <w:drawing>
          <wp:inline distT="0" distB="0" distL="0" distR="0">
            <wp:extent cx="5759450" cy="2672080"/>
            <wp:effectExtent l="0" t="0" r="1270" b="1016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26"/>
                    <a:stretch>
                      <a:fillRect/>
                    </a:stretch>
                  </pic:blipFill>
                  <pic:spPr>
                    <a:xfrm>
                      <a:off x="0" y="0"/>
                      <a:ext cx="5759450" cy="2672080"/>
                    </a:xfrm>
                    <a:prstGeom prst="rect">
                      <a:avLst/>
                    </a:prstGeom>
                  </pic:spPr>
                </pic:pic>
              </a:graphicData>
            </a:graphic>
          </wp:inline>
        </w:drawing>
      </w:r>
    </w:p>
    <w:p w14:paraId="69B0D106">
      <w:pPr>
        <w:pStyle w:val="3"/>
        <w:ind w:firstLine="199" w:firstLineChars="95"/>
        <w:rPr>
          <w:rFonts w:hint="eastAsia"/>
        </w:rPr>
      </w:pPr>
    </w:p>
    <w:p w14:paraId="12C56DFC">
      <w:pPr>
        <w:pStyle w:val="3"/>
        <w:numPr>
          <w:ilvl w:val="0"/>
          <w:numId w:val="6"/>
        </w:numPr>
        <w:spacing w:line="360" w:lineRule="auto"/>
        <w:ind w:firstLineChars="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【任务管理】</w:t>
      </w:r>
    </w:p>
    <w:p w14:paraId="2E78D884">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点击“任务管理”，点击创建任务，可以实现任务的调度及派发。</w:t>
      </w:r>
    </w:p>
    <w:p w14:paraId="46230049">
      <w:pPr>
        <w:pStyle w:val="3"/>
        <w:ind w:firstLine="0" w:firstLineChars="0"/>
        <w:jc w:val="center"/>
      </w:pPr>
      <w:r>
        <w:drawing>
          <wp:inline distT="0" distB="0" distL="0" distR="0">
            <wp:extent cx="5759450" cy="5092065"/>
            <wp:effectExtent l="0" t="0" r="1270" b="13335"/>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27"/>
                    <a:stretch>
                      <a:fillRect/>
                    </a:stretch>
                  </pic:blipFill>
                  <pic:spPr>
                    <a:xfrm>
                      <a:off x="0" y="0"/>
                      <a:ext cx="5759450" cy="5092065"/>
                    </a:xfrm>
                    <a:prstGeom prst="rect">
                      <a:avLst/>
                    </a:prstGeom>
                  </pic:spPr>
                </pic:pic>
              </a:graphicData>
            </a:graphic>
          </wp:inline>
        </w:drawing>
      </w:r>
    </w:p>
    <w:p w14:paraId="4D91AC9C">
      <w:pPr>
        <w:pStyle w:val="3"/>
        <w:numPr>
          <w:ilvl w:val="0"/>
          <w:numId w:val="6"/>
        </w:numPr>
        <w:spacing w:line="360" w:lineRule="auto"/>
        <w:ind w:firstLineChars="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【启动预案】</w:t>
      </w:r>
    </w:p>
    <w:p w14:paraId="19DC873A">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点击“启动预案”，支持启动和查看启动预案的情况，以及启动预案的详细信息。</w:t>
      </w:r>
    </w:p>
    <w:p w14:paraId="32DFC96F">
      <w:pPr>
        <w:pStyle w:val="3"/>
        <w:ind w:firstLine="0" w:firstLineChars="0"/>
        <w:jc w:val="center"/>
      </w:pPr>
      <w:r>
        <w:drawing>
          <wp:inline distT="0" distB="0" distL="0" distR="0">
            <wp:extent cx="5759450" cy="2844165"/>
            <wp:effectExtent l="0" t="0" r="1270" b="5715"/>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28"/>
                    <a:stretch>
                      <a:fillRect/>
                    </a:stretch>
                  </pic:blipFill>
                  <pic:spPr>
                    <a:xfrm>
                      <a:off x="0" y="0"/>
                      <a:ext cx="5759450" cy="2844165"/>
                    </a:xfrm>
                    <a:prstGeom prst="rect">
                      <a:avLst/>
                    </a:prstGeom>
                  </pic:spPr>
                </pic:pic>
              </a:graphicData>
            </a:graphic>
          </wp:inline>
        </w:drawing>
      </w:r>
    </w:p>
    <w:p w14:paraId="095D1039">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40" w:name="_Toc14559"/>
      <w:bookmarkStart w:id="41" w:name="_Toc11062"/>
      <w:r>
        <w:rPr>
          <w:rFonts w:hint="eastAsia" w:ascii="黑体" w:hAnsi="黑体" w:eastAsia="黑体"/>
          <w:b w:val="0"/>
          <w:bCs w:val="0"/>
          <w:sz w:val="28"/>
          <w:szCs w:val="40"/>
        </w:rPr>
        <w:t>综合资源管理</w:t>
      </w:r>
      <w:bookmarkEnd w:id="40"/>
      <w:bookmarkEnd w:id="41"/>
    </w:p>
    <w:p w14:paraId="643D3FB7">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综合资源管理进入，可以对长江流域各类重点水域、关注重点人员、周边资源、日常无人机巡查、执法船巡航、执法车岸边巡逻等信息的统计与展示，实现在常态管控下对各类资源进行把控。</w:t>
      </w:r>
    </w:p>
    <w:p w14:paraId="2840B67D">
      <w:pPr>
        <w:pStyle w:val="3"/>
        <w:spacing w:line="360" w:lineRule="auto"/>
        <w:ind w:left="0" w:leftChars="0" w:firstLine="0" w:firstLineChars="0"/>
      </w:pPr>
      <w:r>
        <w:drawing>
          <wp:inline distT="0" distB="0" distL="0" distR="0">
            <wp:extent cx="5759450" cy="2688590"/>
            <wp:effectExtent l="0" t="0" r="1270" b="889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r:embed="rId29"/>
                    <a:stretch>
                      <a:fillRect/>
                    </a:stretch>
                  </pic:blipFill>
                  <pic:spPr>
                    <a:xfrm>
                      <a:off x="0" y="0"/>
                      <a:ext cx="5759450" cy="2688590"/>
                    </a:xfrm>
                    <a:prstGeom prst="rect">
                      <a:avLst/>
                    </a:prstGeom>
                  </pic:spPr>
                </pic:pic>
              </a:graphicData>
            </a:graphic>
          </wp:inline>
        </w:drawing>
      </w:r>
    </w:p>
    <w:p w14:paraId="0E7321CE">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42" w:name="_Toc16620"/>
      <w:bookmarkStart w:id="43" w:name="_Toc14798"/>
      <w:r>
        <w:rPr>
          <w:rFonts w:hint="eastAsia" w:ascii="黑体" w:hAnsi="黑体" w:eastAsia="黑体"/>
          <w:b w:val="0"/>
          <w:bCs w:val="0"/>
          <w:sz w:val="28"/>
          <w:szCs w:val="40"/>
        </w:rPr>
        <w:t>应急预案管理</w:t>
      </w:r>
      <w:bookmarkEnd w:id="42"/>
      <w:bookmarkEnd w:id="43"/>
    </w:p>
    <w:p w14:paraId="0C6B8E30">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首先在顶部选择指挥调度功能模块再点击左侧菜单栏中指挥调度-应急预案管理进入，可以对应急预案进行管理，支持添加多类型应急预案，为突发事件形成指导建议。</w:t>
      </w:r>
    </w:p>
    <w:p w14:paraId="73E0FBB6">
      <w:pPr>
        <w:pStyle w:val="3"/>
        <w:spacing w:line="360" w:lineRule="auto"/>
        <w:ind w:left="0" w:leftChars="0" w:firstLine="0" w:firstLineChars="0"/>
      </w:pPr>
      <w:r>
        <w:drawing>
          <wp:inline distT="0" distB="0" distL="0" distR="0">
            <wp:extent cx="5759450" cy="2686050"/>
            <wp:effectExtent l="0" t="0" r="1270" b="1143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30"/>
                    <a:stretch>
                      <a:fillRect/>
                    </a:stretch>
                  </pic:blipFill>
                  <pic:spPr>
                    <a:xfrm>
                      <a:off x="0" y="0"/>
                      <a:ext cx="5759450" cy="2686050"/>
                    </a:xfrm>
                    <a:prstGeom prst="rect">
                      <a:avLst/>
                    </a:prstGeom>
                  </pic:spPr>
                </pic:pic>
              </a:graphicData>
            </a:graphic>
          </wp:inline>
        </w:drawing>
      </w:r>
    </w:p>
    <w:p w14:paraId="683759D2">
      <w:pPr>
        <w:pStyle w:val="9"/>
        <w:widowControl/>
        <w:numPr>
          <w:ilvl w:val="0"/>
          <w:numId w:val="3"/>
        </w:numPr>
        <w:spacing w:line="360" w:lineRule="auto"/>
        <w:jc w:val="center"/>
        <w:rPr>
          <w:b/>
          <w:bCs/>
        </w:rPr>
      </w:pPr>
      <w:r>
        <w:rPr>
          <w:rFonts w:hint="eastAsia"/>
          <w:lang w:val="en-US" w:eastAsia="zh-CN"/>
        </w:rPr>
        <w:t>应急预案管理页面</w:t>
      </w:r>
    </w:p>
    <w:p w14:paraId="5CC4B4AE">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44" w:name="_Toc31836"/>
      <w:bookmarkStart w:id="45" w:name="_Toc16051"/>
      <w:r>
        <w:rPr>
          <w:rFonts w:hint="eastAsia" w:ascii="黑体" w:hAnsi="黑体" w:eastAsia="黑体"/>
          <w:b w:val="0"/>
          <w:bCs w:val="0"/>
          <w:sz w:val="28"/>
          <w:szCs w:val="40"/>
        </w:rPr>
        <w:t>告警预警</w:t>
      </w:r>
      <w:bookmarkEnd w:id="44"/>
      <w:bookmarkEnd w:id="45"/>
    </w:p>
    <w:p w14:paraId="148B230C">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首先在顶部选择指挥调度功能模块再点击左侧菜单栏中指挥调度-应急预案管理进入，可以告警管理，可设置告警类型、告警方式等。</w:t>
      </w:r>
    </w:p>
    <w:p w14:paraId="370922DC">
      <w:pPr>
        <w:pStyle w:val="3"/>
        <w:spacing w:line="360" w:lineRule="auto"/>
        <w:ind w:left="0" w:leftChars="0" w:firstLine="0" w:firstLineChars="0"/>
      </w:pPr>
      <w:r>
        <w:drawing>
          <wp:inline distT="0" distB="0" distL="0" distR="0">
            <wp:extent cx="5759450" cy="2687320"/>
            <wp:effectExtent l="0" t="0" r="1270" b="1016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31"/>
                    <a:stretch>
                      <a:fillRect/>
                    </a:stretch>
                  </pic:blipFill>
                  <pic:spPr>
                    <a:xfrm>
                      <a:off x="0" y="0"/>
                      <a:ext cx="5759450" cy="2687320"/>
                    </a:xfrm>
                    <a:prstGeom prst="rect">
                      <a:avLst/>
                    </a:prstGeom>
                  </pic:spPr>
                </pic:pic>
              </a:graphicData>
            </a:graphic>
          </wp:inline>
        </w:drawing>
      </w:r>
    </w:p>
    <w:p w14:paraId="40D33BE7">
      <w:pPr>
        <w:pStyle w:val="9"/>
        <w:widowControl/>
        <w:numPr>
          <w:ilvl w:val="0"/>
          <w:numId w:val="3"/>
        </w:numPr>
        <w:spacing w:line="360" w:lineRule="auto"/>
        <w:jc w:val="center"/>
      </w:pPr>
      <w:r>
        <w:rPr>
          <w:rFonts w:hint="eastAsia"/>
          <w:lang w:val="en-US" w:eastAsia="zh-CN"/>
        </w:rPr>
        <w:t>告警预警页面</w:t>
      </w:r>
    </w:p>
    <w:p w14:paraId="60BCB5CE">
      <w:pPr>
        <w:pStyle w:val="5"/>
        <w:keepNext/>
        <w:keepLines/>
        <w:pageBreakBefore w:val="0"/>
        <w:widowControl w:val="0"/>
        <w:numPr>
          <w:ilvl w:val="1"/>
          <w:numId w:val="2"/>
        </w:numPr>
        <w:tabs>
          <w:tab w:val="left" w:pos="0"/>
          <w:tab w:val="left" w:pos="709"/>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46" w:name="_Toc8101"/>
      <w:bookmarkStart w:id="47" w:name="_Toc6537"/>
      <w:r>
        <w:rPr>
          <w:rFonts w:hint="eastAsia" w:ascii="黑体" w:hAnsi="黑体" w:eastAsia="黑体"/>
          <w:b w:val="0"/>
          <w:bCs w:val="0"/>
          <w:sz w:val="32"/>
        </w:rPr>
        <w:t>案件处置</w:t>
      </w:r>
      <w:bookmarkEnd w:id="46"/>
      <w:bookmarkEnd w:id="47"/>
    </w:p>
    <w:p w14:paraId="7C01EC6A">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48" w:name="_Toc2745"/>
      <w:bookmarkStart w:id="49" w:name="_Toc4900"/>
      <w:r>
        <w:rPr>
          <w:rFonts w:hint="eastAsia" w:ascii="黑体" w:hAnsi="黑体" w:eastAsia="黑体"/>
          <w:b w:val="0"/>
          <w:bCs w:val="0"/>
          <w:sz w:val="28"/>
          <w:szCs w:val="40"/>
        </w:rPr>
        <w:t>案件列表</w:t>
      </w:r>
      <w:bookmarkEnd w:id="48"/>
      <w:bookmarkEnd w:id="49"/>
    </w:p>
    <w:p w14:paraId="4227E4D6">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案件列表进入，可以展示案情处理的流程，并对案件处理状态跟踪查询。提供案件处置信息的统计，包括执法人员出动数据、查处时间、出动数量等内容。</w:t>
      </w:r>
    </w:p>
    <w:p w14:paraId="38DBF9FB">
      <w:pPr>
        <w:pStyle w:val="7"/>
        <w:ind w:left="0" w:leftChars="0" w:firstLine="0" w:firstLineChars="0"/>
      </w:pPr>
      <w:r>
        <w:drawing>
          <wp:inline distT="0" distB="0" distL="0" distR="0">
            <wp:extent cx="5759450" cy="2677160"/>
            <wp:effectExtent l="0" t="0" r="1270" b="508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32"/>
                    <a:stretch>
                      <a:fillRect/>
                    </a:stretch>
                  </pic:blipFill>
                  <pic:spPr>
                    <a:xfrm>
                      <a:off x="0" y="0"/>
                      <a:ext cx="5759450" cy="2677160"/>
                    </a:xfrm>
                    <a:prstGeom prst="rect">
                      <a:avLst/>
                    </a:prstGeom>
                  </pic:spPr>
                </pic:pic>
              </a:graphicData>
            </a:graphic>
          </wp:inline>
        </w:drawing>
      </w:r>
    </w:p>
    <w:p w14:paraId="238FC760">
      <w:pPr>
        <w:pStyle w:val="9"/>
        <w:widowControl/>
        <w:numPr>
          <w:ilvl w:val="0"/>
          <w:numId w:val="3"/>
        </w:numPr>
        <w:spacing w:line="360" w:lineRule="auto"/>
        <w:jc w:val="center"/>
      </w:pPr>
      <w:r>
        <w:rPr>
          <w:rFonts w:hint="eastAsia"/>
          <w:lang w:val="en-US" w:eastAsia="zh-CN"/>
        </w:rPr>
        <w:t>案件列表页面</w:t>
      </w:r>
    </w:p>
    <w:p w14:paraId="3DCFAE81">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28"/>
          <w:szCs w:val="40"/>
        </w:rPr>
      </w:pPr>
      <w:bookmarkStart w:id="50" w:name="_Toc1541"/>
      <w:bookmarkStart w:id="51" w:name="_Toc30593"/>
      <w:r>
        <w:rPr>
          <w:rFonts w:hint="eastAsia" w:ascii="黑体" w:hAnsi="黑体" w:eastAsia="黑体"/>
          <w:b w:val="0"/>
          <w:bCs w:val="0"/>
          <w:sz w:val="28"/>
          <w:szCs w:val="40"/>
        </w:rPr>
        <w:t>案件统计</w:t>
      </w:r>
      <w:bookmarkEnd w:id="50"/>
      <w:bookmarkEnd w:id="51"/>
    </w:p>
    <w:p w14:paraId="545406C2">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案件统计进入，提供对案件类型、数量、区域、行为等按照时间维度的统计分析，汇总各类违法案件情况，自动生成案件情况分析图，支持从多个维度对各区域、各部门进行绩效考核排名。</w:t>
      </w:r>
    </w:p>
    <w:p w14:paraId="1BF693EF">
      <w:pPr>
        <w:pStyle w:val="3"/>
        <w:spacing w:line="360" w:lineRule="auto"/>
        <w:ind w:left="0" w:leftChars="0" w:firstLine="0" w:firstLineChars="0"/>
      </w:pPr>
      <w:r>
        <w:drawing>
          <wp:inline distT="0" distB="0" distL="0" distR="0">
            <wp:extent cx="5759450" cy="2684145"/>
            <wp:effectExtent l="0" t="0" r="1270" b="1333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pic:cNvPicPr>
                  </pic:nvPicPr>
                  <pic:blipFill>
                    <a:blip r:embed="rId33"/>
                    <a:stretch>
                      <a:fillRect/>
                    </a:stretch>
                  </pic:blipFill>
                  <pic:spPr>
                    <a:xfrm>
                      <a:off x="0" y="0"/>
                      <a:ext cx="5759450" cy="2684145"/>
                    </a:xfrm>
                    <a:prstGeom prst="rect">
                      <a:avLst/>
                    </a:prstGeom>
                  </pic:spPr>
                </pic:pic>
              </a:graphicData>
            </a:graphic>
          </wp:inline>
        </w:drawing>
      </w:r>
    </w:p>
    <w:p w14:paraId="14CD4EA8">
      <w:pPr>
        <w:pStyle w:val="9"/>
        <w:widowControl/>
        <w:numPr>
          <w:ilvl w:val="0"/>
          <w:numId w:val="3"/>
        </w:numPr>
        <w:spacing w:line="360" w:lineRule="auto"/>
        <w:jc w:val="center"/>
      </w:pPr>
      <w:r>
        <w:rPr>
          <w:rFonts w:hint="eastAsia"/>
          <w:lang w:val="en-US" w:eastAsia="zh-CN"/>
        </w:rPr>
        <w:t>案件统计页面</w:t>
      </w:r>
    </w:p>
    <w:p w14:paraId="06374FD2">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ascii="黑体" w:hAnsi="黑体" w:eastAsia="黑体"/>
          <w:b w:val="0"/>
          <w:bCs w:val="0"/>
          <w:sz w:val="32"/>
        </w:rPr>
      </w:pPr>
      <w:bookmarkStart w:id="52" w:name="_Toc24528"/>
      <w:bookmarkStart w:id="53" w:name="_Toc21745"/>
      <w:r>
        <w:rPr>
          <w:rFonts w:hint="eastAsia" w:ascii="黑体" w:hAnsi="黑体" w:eastAsia="黑体"/>
          <w:b w:val="0"/>
          <w:bCs w:val="0"/>
          <w:sz w:val="32"/>
        </w:rPr>
        <w:t>指挥中心一张图</w:t>
      </w:r>
      <w:bookmarkEnd w:id="52"/>
      <w:bookmarkEnd w:id="53"/>
    </w:p>
    <w:p w14:paraId="72467A94">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在顶部选择指挥调度功能模块再点击左侧菜单栏中指挥调度-指挥中心一张图进入，可以对电子图册为底图，通过调用综合数据管理支撑分系统中渔政执法相关数据，以及基础信息数据管理分系统中部直属机构及各省市所辖区域渔政机构、装备、设施、人员等相关数据，构建指挥中心一张图，结合多类型数据统计图表，为领导决策、分析研判提供支撑。包括切换展示常年禁渔保护区一张图、重点水域一张图、省市自定禁渔水域一张图、渔政队伍装备设施一张图、禁渔执法行动一张图、信访举报一张图、非法捕捞高发时段一张图、案件一张图、分析研判一张图、渔船监控一张图、涉水工程分布一张图。</w:t>
      </w:r>
    </w:p>
    <w:p w14:paraId="664E5066">
      <w:pPr>
        <w:pStyle w:val="3"/>
        <w:spacing w:line="360" w:lineRule="auto"/>
        <w:ind w:left="0" w:leftChars="0" w:firstLine="0" w:firstLineChars="0"/>
      </w:pPr>
      <w:r>
        <w:drawing>
          <wp:inline distT="0" distB="0" distL="0" distR="0">
            <wp:extent cx="5759450" cy="2687955"/>
            <wp:effectExtent l="0" t="0" r="1270" b="9525"/>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34"/>
                    <a:stretch>
                      <a:fillRect/>
                    </a:stretch>
                  </pic:blipFill>
                  <pic:spPr>
                    <a:xfrm>
                      <a:off x="0" y="0"/>
                      <a:ext cx="5759450" cy="2687955"/>
                    </a:xfrm>
                    <a:prstGeom prst="rect">
                      <a:avLst/>
                    </a:prstGeom>
                  </pic:spPr>
                </pic:pic>
              </a:graphicData>
            </a:graphic>
          </wp:inline>
        </w:drawing>
      </w:r>
    </w:p>
    <w:p w14:paraId="14072788">
      <w:pPr>
        <w:pStyle w:val="9"/>
        <w:widowControl/>
        <w:numPr>
          <w:ilvl w:val="0"/>
          <w:numId w:val="3"/>
        </w:numPr>
        <w:spacing w:line="360" w:lineRule="auto"/>
        <w:jc w:val="center"/>
      </w:pPr>
      <w:r>
        <w:rPr>
          <w:rFonts w:hint="eastAsia"/>
          <w:lang w:val="en-US" w:eastAsia="zh-CN"/>
        </w:rPr>
        <w:t>指挥中心一张图页面</w:t>
      </w:r>
    </w:p>
    <w:p w14:paraId="3EDC637C">
      <w:pPr>
        <w:spacing w:before="0" w:after="0" w:line="360" w:lineRule="auto"/>
        <w:ind w:firstLine="0" w:firstLineChars="0"/>
        <w:jc w:val="center"/>
      </w:pPr>
    </w:p>
    <w:p w14:paraId="3E91979C">
      <w:pPr>
        <w:numPr>
          <w:ilvl w:val="0"/>
          <w:numId w:val="0"/>
        </w:numPr>
        <w:spacing w:before="0" w:after="0" w:line="360" w:lineRule="auto"/>
        <w:jc w:val="both"/>
      </w:pPr>
    </w:p>
    <w:p w14:paraId="2987912F">
      <w:pPr>
        <w:numPr>
          <w:ilvl w:val="0"/>
          <w:numId w:val="0"/>
        </w:numPr>
        <w:spacing w:before="0" w:after="0" w:line="360" w:lineRule="auto"/>
        <w:jc w:val="both"/>
      </w:pPr>
    </w:p>
    <w:p w14:paraId="0015932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354EE3"/>
    <w:multiLevelType w:val="multilevel"/>
    <w:tmpl w:val="E6354EE3"/>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default"/>
        <w:b w:val="0"/>
        <w:bCs w:val="0"/>
      </w:rPr>
    </w:lvl>
    <w:lvl w:ilvl="2" w:tentative="0">
      <w:start w:val="1"/>
      <w:numFmt w:val="decimal"/>
      <w:isLgl/>
      <w:suff w:val="space"/>
      <w:lvlText w:val="%1.%2.%3."/>
      <w:lvlJc w:val="left"/>
      <w:pPr>
        <w:ind w:left="720" w:hanging="720"/>
      </w:pPr>
      <w:rPr>
        <w:rFonts w:hint="default"/>
        <w:b w:val="0"/>
        <w:bCs w:val="0"/>
      </w:rPr>
    </w:lvl>
    <w:lvl w:ilvl="3" w:tentative="0">
      <w:start w:val="1"/>
      <w:numFmt w:val="decimal"/>
      <w:isLgl/>
      <w:suff w:val="space"/>
      <w:lvlText w:val="%1.%2.%3.%4."/>
      <w:lvlJc w:val="left"/>
      <w:pPr>
        <w:ind w:left="864" w:hanging="864"/>
      </w:pPr>
      <w:rPr>
        <w:rFonts w:hint="default"/>
        <w:b w:val="0"/>
        <w:bCs w:val="0"/>
      </w:rPr>
    </w:lvl>
    <w:lvl w:ilvl="4" w:tentative="0">
      <w:start w:val="1"/>
      <w:numFmt w:val="decimal"/>
      <w:isLgl/>
      <w:lvlText w:val="%1.%2.%3.%4.%5."/>
      <w:lvlJc w:val="left"/>
      <w:pPr>
        <w:ind w:left="1008" w:hanging="1008"/>
      </w:pPr>
      <w:rPr>
        <w:rFonts w:hint="eastAsia" w:ascii="黑体" w:hAnsi="黑体" w:eastAsia="黑体" w:cs="黑体"/>
        <w:b w:val="0"/>
        <w:bCs w:val="0"/>
      </w:rPr>
    </w:lvl>
    <w:lvl w:ilvl="5" w:tentative="0">
      <w:start w:val="1"/>
      <w:numFmt w:val="decimal"/>
      <w:isLgl/>
      <w:lvlText w:val="%1.%2.%3.%4.%5.%6."/>
      <w:lvlJc w:val="left"/>
      <w:pPr>
        <w:ind w:left="1151" w:hanging="1151"/>
      </w:pPr>
      <w:rPr>
        <w:rFonts w:hint="eastAsia" w:ascii="黑体" w:hAnsi="黑体" w:eastAsia="黑体" w:cs="黑体"/>
      </w:rPr>
    </w:lvl>
    <w:lvl w:ilvl="6" w:tentative="0">
      <w:start w:val="1"/>
      <w:numFmt w:val="decimal"/>
      <w:isLgl/>
      <w:lvlText w:val="%1.%2.%3.%4.%5.%6.%7."/>
      <w:lvlJc w:val="left"/>
      <w:pPr>
        <w:ind w:left="1296" w:hanging="1296"/>
      </w:pPr>
      <w:rPr>
        <w:rFonts w:hint="eastAsia" w:ascii="黑体" w:hAnsi="黑体" w:eastAsia="黑体" w:cs="黑体"/>
      </w:rPr>
    </w:lvl>
    <w:lvl w:ilvl="7" w:tentative="0">
      <w:start w:val="1"/>
      <w:numFmt w:val="decimal"/>
      <w:isLgl/>
      <w:lvlText w:val="%1.%2.%3.%4.%5.%6.%7.%8."/>
      <w:lvlJc w:val="left"/>
      <w:pPr>
        <w:ind w:left="0" w:firstLine="0"/>
      </w:pPr>
      <w:rPr>
        <w:rFonts w:hint="eastAsia" w:ascii="黑体" w:hAnsi="黑体" w:eastAsia="黑体" w:cs="黑体"/>
      </w:rPr>
    </w:lvl>
    <w:lvl w:ilvl="8" w:tentative="0">
      <w:start w:val="1"/>
      <w:numFmt w:val="decimal"/>
      <w:isLgl/>
      <w:lvlText w:val="%1.%2.%3.%4.%5.%6.%7.%8.%9."/>
      <w:lvlJc w:val="left"/>
      <w:pPr>
        <w:ind w:left="1583" w:hanging="1583"/>
      </w:pPr>
      <w:rPr>
        <w:rFonts w:hint="eastAsia"/>
      </w:rPr>
    </w:lvl>
  </w:abstractNum>
  <w:abstractNum w:abstractNumId="1">
    <w:nsid w:val="473D429F"/>
    <w:multiLevelType w:val="multilevel"/>
    <w:tmpl w:val="473D42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6AA2F1D"/>
    <w:multiLevelType w:val="singleLevel"/>
    <w:tmpl w:val="56AA2F1D"/>
    <w:lvl w:ilvl="0" w:tentative="0">
      <w:start w:val="1"/>
      <w:numFmt w:val="decimal"/>
      <w:suff w:val="space"/>
      <w:lvlText w:val="图%1"/>
      <w:lvlJc w:val="left"/>
      <w:pPr>
        <w:tabs>
          <w:tab w:val="left" w:pos="0"/>
        </w:tabs>
        <w:ind w:left="425" w:hanging="425"/>
      </w:pPr>
      <w:rPr>
        <w:rFonts w:hint="default" w:ascii="黑体" w:hAnsi="黑体" w:eastAsia="黑体" w:cs="黑体"/>
        <w:b w:val="0"/>
        <w:bCs w:val="0"/>
        <w:sz w:val="20"/>
        <w:szCs w:val="20"/>
      </w:rPr>
    </w:lvl>
  </w:abstractNum>
  <w:abstractNum w:abstractNumId="3">
    <w:nsid w:val="5B965507"/>
    <w:multiLevelType w:val="multilevel"/>
    <w:tmpl w:val="5B965507"/>
    <w:lvl w:ilvl="0" w:tentative="0">
      <w:start w:val="1"/>
      <w:numFmt w:val="decimal"/>
      <w:suff w:val="space"/>
      <w:lvlText w:val="%1."/>
      <w:lvlJc w:val="left"/>
      <w:pPr>
        <w:ind w:left="0" w:firstLine="0"/>
      </w:pPr>
      <w:rPr>
        <w:rFonts w:hint="eastAsia"/>
      </w:rPr>
    </w:lvl>
    <w:lvl w:ilvl="1" w:tentative="0">
      <w:start w:val="1"/>
      <w:numFmt w:val="decimal"/>
      <w:lvlText w:val="%1.%2"/>
      <w:lvlJc w:val="left"/>
      <w:pPr>
        <w:tabs>
          <w:tab w:val="left" w:pos="432"/>
        </w:tabs>
        <w:ind w:left="0" w:firstLine="0"/>
      </w:pPr>
      <w:rPr>
        <w:rFonts w:hint="eastAsia"/>
      </w:rPr>
    </w:lvl>
    <w:lvl w:ilvl="2" w:tentative="0">
      <w:start w:val="1"/>
      <w:numFmt w:val="decimal"/>
      <w:pStyle w:val="6"/>
      <w:suff w:val="space"/>
      <w:lvlText w:val="%1.%2.%3"/>
      <w:lvlJc w:val="left"/>
      <w:pPr>
        <w:ind w:left="0" w:firstLine="0"/>
      </w:pPr>
      <w:rPr>
        <w:rFonts w:hint="default" w:ascii="Times New Roman" w:hAnsi="Times New Roman" w:cs="Times New Roman"/>
        <w:sz w:val="32"/>
        <w:szCs w:val="32"/>
      </w:rPr>
    </w:lvl>
    <w:lvl w:ilvl="3" w:tentative="0">
      <w:start w:val="1"/>
      <w:numFmt w:val="decimal"/>
      <w:suff w:val="space"/>
      <w:lvlText w:val="%1.%2.%3.%4"/>
      <w:lvlJc w:val="left"/>
      <w:pPr>
        <w:ind w:left="0" w:firstLine="0"/>
      </w:pPr>
      <w:rPr>
        <w:rFonts w:hint="default" w:ascii="Times New Roman" w:hAnsi="Times New Roman" w:cs="Times New Roman"/>
        <w:sz w:val="32"/>
        <w:szCs w:val="32"/>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4">
    <w:nsid w:val="68DD2BED"/>
    <w:multiLevelType w:val="multilevel"/>
    <w:tmpl w:val="68DD2B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C69892"/>
    <w:multiLevelType w:val="multilevel"/>
    <w:tmpl w:val="70C6989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591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tabs>
        <w:tab w:val="left" w:pos="432"/>
      </w:tabs>
      <w:spacing w:before="240" w:after="240" w:line="360" w:lineRule="auto"/>
      <w:outlineLvl w:val="0"/>
    </w:pPr>
    <w:rPr>
      <w:b/>
      <w:bCs/>
      <w:kern w:val="44"/>
      <w:sz w:val="32"/>
      <w:szCs w:val="44"/>
    </w:rPr>
  </w:style>
  <w:style w:type="paragraph" w:styleId="5">
    <w:name w:val="heading 2"/>
    <w:basedOn w:val="1"/>
    <w:next w:val="3"/>
    <w:qFormat/>
    <w:uiPriority w:val="0"/>
    <w:pPr>
      <w:keepNext/>
      <w:keepLines/>
      <w:tabs>
        <w:tab w:val="left" w:pos="432"/>
        <w:tab w:val="left" w:pos="576"/>
      </w:tabs>
      <w:spacing w:before="240" w:after="240" w:line="360" w:lineRule="auto"/>
      <w:outlineLvl w:val="1"/>
    </w:pPr>
    <w:rPr>
      <w:rFonts w:ascii="Arial" w:hAnsi="Arial"/>
      <w:b/>
      <w:bCs/>
      <w:sz w:val="30"/>
      <w:szCs w:val="32"/>
    </w:rPr>
  </w:style>
  <w:style w:type="paragraph" w:styleId="6">
    <w:name w:val="heading 3"/>
    <w:basedOn w:val="1"/>
    <w:next w:val="7"/>
    <w:qFormat/>
    <w:uiPriority w:val="0"/>
    <w:pPr>
      <w:keepNext/>
      <w:keepLines/>
      <w:numPr>
        <w:ilvl w:val="2"/>
        <w:numId w:val="1"/>
      </w:numPr>
      <w:tabs>
        <w:tab w:val="left" w:pos="1287"/>
      </w:tabs>
      <w:spacing w:before="240" w:after="240" w:line="360" w:lineRule="auto"/>
      <w:outlineLvl w:val="2"/>
    </w:pPr>
    <w:rPr>
      <w:b/>
      <w:bCs/>
      <w:sz w:val="24"/>
      <w:szCs w:val="28"/>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3">
    <w:name w:val="Body Text First Indent"/>
    <w:basedOn w:val="4"/>
    <w:qFormat/>
    <w:uiPriority w:val="0"/>
    <w:pPr>
      <w:spacing w:after="0" w:line="300" w:lineRule="auto"/>
      <w:ind w:firstLine="200" w:firstLineChars="200"/>
    </w:pPr>
    <w:rPr>
      <w:szCs w:val="21"/>
    </w:rPr>
  </w:style>
  <w:style w:type="paragraph" w:styleId="4">
    <w:name w:val="Body Text"/>
    <w:basedOn w:val="1"/>
    <w:qFormat/>
    <w:uiPriority w:val="0"/>
    <w:pPr>
      <w:spacing w:after="120"/>
    </w:pPr>
  </w:style>
  <w:style w:type="paragraph" w:styleId="7">
    <w:name w:val="Body Text First Indent 2"/>
    <w:basedOn w:val="8"/>
    <w:qFormat/>
    <w:uiPriority w:val="0"/>
    <w:pPr>
      <w:spacing w:after="0" w:line="300" w:lineRule="auto"/>
      <w:ind w:firstLine="420" w:firstLineChars="200"/>
    </w:pPr>
    <w:rPr>
      <w:szCs w:val="21"/>
    </w:rPr>
  </w:style>
  <w:style w:type="paragraph" w:styleId="8">
    <w:name w:val="Body Text Indent"/>
    <w:basedOn w:val="1"/>
    <w:qFormat/>
    <w:uiPriority w:val="0"/>
    <w:pPr>
      <w:spacing w:after="120"/>
      <w:ind w:left="420" w:leftChars="200"/>
    </w:pPr>
  </w:style>
  <w:style w:type="paragraph" w:styleId="9">
    <w:name w:val="caption"/>
    <w:basedOn w:val="1"/>
    <w:next w:val="1"/>
    <w:unhideWhenUsed/>
    <w:qFormat/>
    <w:uiPriority w:val="0"/>
    <w:rPr>
      <w:rFonts w:ascii="Cambria" w:hAnsi="Cambria" w:eastAsia="黑体" w:cstheme="maj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2025-06-30T07:52:32Z</dcterms:created>
  <dc:creator>Chamber</dc:creator>
  <cp:lastModifiedBy>ろく どう むくろ</cp:lastModifiedBy>
  <dcterms:modified xsi:type="dcterms:W3CDTF">2025-06-30T07:53:34Z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eyJoZGlkIjoiODY0ZmU2MDQ0MGViM2YxZGIzZDUzOWFiYzNhZGI3MzciLCJ1c2VySWQiOiI2Njk4NjQwMDUifQ==</vt:lpwstr>
  </property>
  <property fmtid="{D5CDD505-2E9C-101B-9397-08002B2CF9AE}" pid="4" name="ICV">
    <vt:lpwstr>BD7F386B42644B1E9AF4EB26BDFAE56B_12</vt:lpwstr>
  </property>
</Properties>
</file>